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10" w:lineRule="atLeast"/>
        <w:jc w:val="left"/>
        <w:textAlignment w:val="baseline"/>
        <w:rPr>
          <w:rFonts w:ascii="方正小标宋简体" w:eastAsia="方正小标宋简体"/>
          <w:sz w:val="30"/>
          <w:szCs w:val="30"/>
        </w:rPr>
      </w:pPr>
      <w:r>
        <w:rPr>
          <w:rFonts w:hint="eastAsia" w:ascii="方正小标宋简体" w:eastAsia="方正小标宋简体"/>
          <w:sz w:val="30"/>
          <w:szCs w:val="30"/>
        </w:rPr>
        <w:t>附件4：</w:t>
      </w:r>
    </w:p>
    <w:p>
      <w:pPr>
        <w:snapToGrid w:val="0"/>
        <w:spacing w:line="510" w:lineRule="atLeast"/>
        <w:jc w:val="center"/>
        <w:textAlignment w:val="baseline"/>
        <w:rPr>
          <w:rFonts w:ascii="方正小标宋简体" w:eastAsia="方正小标宋简体"/>
          <w:sz w:val="44"/>
          <w:szCs w:val="44"/>
        </w:rPr>
      </w:pPr>
    </w:p>
    <w:p>
      <w:pPr>
        <w:snapToGrid w:val="0"/>
        <w:spacing w:line="510" w:lineRule="atLeast"/>
        <w:jc w:val="center"/>
        <w:textAlignment w:val="baseline"/>
        <w:rPr>
          <w:rFonts w:ascii="方正小标宋简体" w:eastAsia="方正小标宋简体"/>
          <w:sz w:val="44"/>
          <w:szCs w:val="44"/>
        </w:rPr>
      </w:pPr>
      <w:r>
        <w:rPr>
          <w:rFonts w:hint="eastAsia" w:ascii="方正小标宋简体" w:eastAsia="方正小标宋简体"/>
          <w:sz w:val="44"/>
          <w:szCs w:val="44"/>
        </w:rPr>
        <w:t>浙江省高等教育十三五第二批</w:t>
      </w:r>
    </w:p>
    <w:p>
      <w:pPr>
        <w:snapToGrid w:val="0"/>
        <w:spacing w:line="510" w:lineRule="atLeast"/>
        <w:jc w:val="center"/>
        <w:textAlignment w:val="baseline"/>
        <w:rPr>
          <w:rFonts w:ascii="方正小标宋简体" w:eastAsia="方正小标宋简体"/>
          <w:sz w:val="44"/>
          <w:szCs w:val="44"/>
        </w:rPr>
      </w:pPr>
      <w:r>
        <w:rPr>
          <w:rFonts w:hint="eastAsia" w:ascii="方正小标宋简体" w:eastAsia="方正小标宋简体"/>
          <w:sz w:val="44"/>
          <w:szCs w:val="44"/>
        </w:rPr>
        <w:t>教学改革研究项目</w:t>
      </w:r>
    </w:p>
    <w:p>
      <w:pPr>
        <w:snapToGrid w:val="0"/>
        <w:spacing w:line="532" w:lineRule="atLeast"/>
        <w:jc w:val="center"/>
        <w:textAlignment w:val="baseline"/>
      </w:pPr>
    </w:p>
    <w:p>
      <w:pPr>
        <w:snapToGrid w:val="0"/>
        <w:spacing w:line="510" w:lineRule="atLeast"/>
        <w:jc w:val="center"/>
        <w:textAlignment w:val="baseline"/>
      </w:pPr>
      <w:r>
        <w:rPr>
          <w:rFonts w:hint="eastAsia" w:eastAsia="黑体"/>
          <w:sz w:val="36"/>
        </w:rPr>
        <w:t>申</w:t>
      </w:r>
      <w:r>
        <w:rPr>
          <w:rFonts w:eastAsia="黑体"/>
          <w:sz w:val="36"/>
        </w:rPr>
        <w:t xml:space="preserve">    </w:t>
      </w:r>
      <w:r>
        <w:rPr>
          <w:rFonts w:hint="eastAsia" w:eastAsia="黑体"/>
          <w:sz w:val="36"/>
        </w:rPr>
        <w:t>请</w:t>
      </w:r>
      <w:r>
        <w:rPr>
          <w:rFonts w:eastAsia="黑体"/>
          <w:sz w:val="36"/>
        </w:rPr>
        <w:t xml:space="preserve">    </w:t>
      </w:r>
      <w:r>
        <w:rPr>
          <w:rFonts w:hint="eastAsia" w:eastAsia="黑体"/>
          <w:sz w:val="36"/>
        </w:rPr>
        <w:t>书</w:t>
      </w:r>
    </w:p>
    <w:p>
      <w:pPr>
        <w:snapToGrid w:val="0"/>
        <w:spacing w:line="243" w:lineRule="atLeast"/>
        <w:jc w:val="center"/>
        <w:textAlignment w:val="baseline"/>
      </w:pPr>
    </w:p>
    <w:p>
      <w:pPr>
        <w:snapToGrid w:val="0"/>
        <w:spacing w:line="243" w:lineRule="atLeast"/>
        <w:jc w:val="center"/>
        <w:textAlignment w:val="baseline"/>
      </w:pPr>
    </w:p>
    <w:p>
      <w:pPr>
        <w:snapToGrid w:val="0"/>
        <w:spacing w:line="243" w:lineRule="atLeast"/>
        <w:jc w:val="center"/>
        <w:textAlignment w:val="baseline"/>
      </w:pPr>
    </w:p>
    <w:p>
      <w:pPr>
        <w:snapToGrid w:val="0"/>
        <w:spacing w:line="243" w:lineRule="atLeast"/>
        <w:jc w:val="center"/>
        <w:textAlignment w:val="baseline"/>
      </w:pPr>
      <w:bookmarkStart w:id="0" w:name="_GoBack"/>
      <w:bookmarkEnd w:id="0"/>
    </w:p>
    <w:p>
      <w:pPr>
        <w:snapToGrid w:val="0"/>
        <w:spacing w:line="532" w:lineRule="atLeast"/>
        <w:ind w:firstLine="1680" w:firstLineChars="600"/>
        <w:textAlignment w:val="baseline"/>
        <w:rPr>
          <w:rFonts w:hint="eastAsia" w:eastAsia="仿宋_GB2312"/>
          <w:b w:val="0"/>
          <w:bCs/>
          <w:sz w:val="28"/>
          <w:u w:val="single"/>
        </w:rPr>
      </w:pPr>
      <w:r>
        <w:rPr>
          <w:rFonts w:hint="eastAsia" w:eastAsia="仿宋_GB2312"/>
          <w:sz w:val="28"/>
        </w:rPr>
        <w:t>项目名称：</w:t>
      </w:r>
      <w:r>
        <w:rPr>
          <w:rFonts w:eastAsia="仿宋_GB2312"/>
          <w:b w:val="0"/>
          <w:bCs/>
          <w:sz w:val="28"/>
          <w:u w:val="single"/>
        </w:rPr>
        <w:t xml:space="preserve"> </w:t>
      </w:r>
      <w:r>
        <w:rPr>
          <w:rFonts w:hint="eastAsia" w:eastAsia="仿宋_GB2312"/>
          <w:b w:val="0"/>
          <w:bCs/>
          <w:sz w:val="28"/>
          <w:u w:val="single"/>
        </w:rPr>
        <w:t>基于OBE理念的产品设计专业核心课程一体化</w:t>
      </w:r>
    </w:p>
    <w:p>
      <w:pPr>
        <w:snapToGrid w:val="0"/>
        <w:spacing w:line="532" w:lineRule="atLeast"/>
        <w:ind w:firstLine="3080" w:firstLineChars="1100"/>
        <w:textAlignment w:val="baseline"/>
        <w:rPr>
          <w:rFonts w:eastAsia="仿宋_GB2312"/>
          <w:b w:val="0"/>
          <w:bCs/>
          <w:sz w:val="28"/>
          <w:u w:val="single"/>
        </w:rPr>
      </w:pPr>
      <w:r>
        <w:rPr>
          <w:rFonts w:hint="eastAsia" w:eastAsia="仿宋_GB2312"/>
          <w:b w:val="0"/>
          <w:bCs/>
          <w:sz w:val="28"/>
          <w:u w:val="single"/>
        </w:rPr>
        <w:t>建设的探索与实践</w:t>
      </w:r>
      <w:r>
        <w:rPr>
          <w:rFonts w:eastAsia="仿宋_GB2312"/>
          <w:b w:val="0"/>
          <w:bCs/>
          <w:sz w:val="28"/>
          <w:u w:val="single"/>
        </w:rPr>
        <w:t xml:space="preserve">  </w:t>
      </w:r>
      <w:r>
        <w:rPr>
          <w:rFonts w:hint="eastAsia" w:eastAsia="仿宋_GB2312"/>
          <w:b w:val="0"/>
          <w:bCs/>
          <w:sz w:val="28"/>
          <w:u w:val="single"/>
        </w:rPr>
        <w:t xml:space="preserve">                    </w:t>
      </w:r>
    </w:p>
    <w:p>
      <w:pPr>
        <w:snapToGrid w:val="0"/>
        <w:spacing w:line="532" w:lineRule="atLeast"/>
        <w:ind w:firstLine="565" w:firstLineChars="202"/>
        <w:textAlignment w:val="baseline"/>
        <w:rPr>
          <w:rFonts w:eastAsia="仿宋_GB2312"/>
          <w:sz w:val="28"/>
        </w:rPr>
      </w:pPr>
      <w:r>
        <w:rPr>
          <w:rFonts w:eastAsia="仿宋_GB2312"/>
          <w:sz w:val="28"/>
        </w:rPr>
        <w:t xml:space="preserve">        </w:t>
      </w:r>
      <w:r>
        <w:rPr>
          <w:rFonts w:hint="eastAsia" w:eastAsia="仿宋_GB2312"/>
          <w:sz w:val="28"/>
        </w:rPr>
        <w:t>申</w:t>
      </w:r>
      <w:r>
        <w:rPr>
          <w:rFonts w:eastAsia="仿宋_GB2312"/>
          <w:sz w:val="28"/>
        </w:rPr>
        <w:t xml:space="preserve"> </w:t>
      </w:r>
      <w:r>
        <w:rPr>
          <w:rFonts w:hint="eastAsia" w:eastAsia="仿宋_GB2312"/>
          <w:sz w:val="28"/>
        </w:rPr>
        <w:t>请</w:t>
      </w:r>
      <w:r>
        <w:rPr>
          <w:rFonts w:eastAsia="仿宋_GB2312"/>
          <w:sz w:val="28"/>
        </w:rPr>
        <w:t xml:space="preserve"> </w:t>
      </w:r>
      <w:r>
        <w:rPr>
          <w:rFonts w:hint="eastAsia" w:eastAsia="仿宋_GB2312"/>
          <w:sz w:val="28"/>
        </w:rPr>
        <w:t>人：</w:t>
      </w:r>
      <w:r>
        <w:rPr>
          <w:rFonts w:eastAsia="仿宋_GB2312"/>
          <w:sz w:val="28"/>
          <w:u w:val="single"/>
        </w:rPr>
        <w:t xml:space="preserve">       </w:t>
      </w:r>
      <w:r>
        <w:rPr>
          <w:rFonts w:hint="eastAsia" w:eastAsia="仿宋_GB2312"/>
          <w:sz w:val="28"/>
          <w:u w:val="single"/>
        </w:rPr>
        <w:t xml:space="preserve">       </w:t>
      </w:r>
      <w:r>
        <w:rPr>
          <w:rFonts w:hint="eastAsia" w:eastAsia="仿宋_GB2312"/>
          <w:sz w:val="28"/>
          <w:szCs w:val="28"/>
          <w:u w:val="single"/>
        </w:rPr>
        <w:t>陆少坎</w:t>
      </w:r>
      <w:r>
        <w:rPr>
          <w:rFonts w:eastAsia="仿宋_GB2312"/>
          <w:sz w:val="28"/>
          <w:u w:val="single"/>
        </w:rPr>
        <w:t xml:space="preserve">       </w:t>
      </w:r>
      <w:r>
        <w:rPr>
          <w:rFonts w:hint="eastAsia" w:eastAsia="仿宋_GB2312"/>
          <w:sz w:val="28"/>
          <w:u w:val="single"/>
        </w:rPr>
        <w:t xml:space="preserve">  </w:t>
      </w:r>
      <w:r>
        <w:rPr>
          <w:rFonts w:eastAsia="仿宋_GB2312"/>
          <w:sz w:val="28"/>
          <w:u w:val="single"/>
        </w:rPr>
        <w:t xml:space="preserve">       </w:t>
      </w:r>
    </w:p>
    <w:p>
      <w:pPr>
        <w:snapToGrid w:val="0"/>
        <w:spacing w:line="532" w:lineRule="atLeast"/>
        <w:ind w:firstLine="1699" w:firstLineChars="607"/>
        <w:textAlignment w:val="baseline"/>
      </w:pPr>
      <w:r>
        <w:rPr>
          <w:rFonts w:hint="eastAsia" w:eastAsia="仿宋_GB2312"/>
          <w:sz w:val="28"/>
        </w:rPr>
        <w:t>申请学校：</w:t>
      </w:r>
      <w:r>
        <w:rPr>
          <w:rFonts w:eastAsia="仿宋_GB2312"/>
          <w:sz w:val="28"/>
          <w:u w:val="single"/>
        </w:rPr>
        <w:t xml:space="preserve">     </w:t>
      </w:r>
      <w:r>
        <w:rPr>
          <w:rFonts w:hint="eastAsia" w:eastAsia="仿宋_GB2312"/>
          <w:sz w:val="28"/>
          <w:u w:val="single"/>
        </w:rPr>
        <w:t xml:space="preserve">  </w:t>
      </w:r>
      <w:r>
        <w:rPr>
          <w:rFonts w:hint="eastAsia" w:eastAsia="仿宋_GB2312"/>
          <w:sz w:val="28"/>
          <w:szCs w:val="28"/>
          <w:u w:val="single"/>
        </w:rPr>
        <w:t>浙江工业大学之江学院</w:t>
      </w:r>
      <w:r>
        <w:rPr>
          <w:rFonts w:eastAsia="仿宋_GB2312"/>
          <w:sz w:val="28"/>
          <w:u w:val="single"/>
        </w:rPr>
        <w:t xml:space="preserve">    </w:t>
      </w:r>
      <w:r>
        <w:rPr>
          <w:rFonts w:hint="eastAsia" w:eastAsia="仿宋_GB2312"/>
          <w:sz w:val="28"/>
          <w:u w:val="single"/>
        </w:rPr>
        <w:t xml:space="preserve">  </w:t>
      </w:r>
      <w:r>
        <w:rPr>
          <w:rFonts w:eastAsia="仿宋_GB2312"/>
          <w:sz w:val="28"/>
          <w:u w:val="single"/>
        </w:rPr>
        <w:t xml:space="preserve">   </w:t>
      </w:r>
    </w:p>
    <w:p>
      <w:pPr>
        <w:snapToGrid w:val="0"/>
        <w:spacing w:line="532" w:lineRule="atLeast"/>
        <w:ind w:firstLine="565" w:firstLineChars="202"/>
        <w:textAlignment w:val="baseline"/>
      </w:pPr>
      <w:r>
        <w:rPr>
          <w:rFonts w:eastAsia="仿宋_GB2312"/>
          <w:sz w:val="28"/>
        </w:rPr>
        <w:t xml:space="preserve">        </w:t>
      </w:r>
      <w:r>
        <w:rPr>
          <w:rFonts w:hint="eastAsia" w:eastAsia="仿宋_GB2312"/>
          <w:sz w:val="28"/>
        </w:rPr>
        <w:t>通讯地址：</w:t>
      </w:r>
      <w:r>
        <w:rPr>
          <w:rFonts w:eastAsia="仿宋_GB2312"/>
          <w:sz w:val="28"/>
          <w:u w:val="single"/>
        </w:rPr>
        <w:t xml:space="preserve">     </w:t>
      </w:r>
      <w:r>
        <w:rPr>
          <w:rFonts w:hint="eastAsia" w:ascii="仿宋_GB2312" w:hAnsi="宋体" w:eastAsia="仿宋_GB2312"/>
          <w:bCs/>
          <w:sz w:val="28"/>
          <w:szCs w:val="28"/>
          <w:u w:val="single"/>
        </w:rPr>
        <w:t>绍兴市柯桥区越州大道958号</w:t>
      </w:r>
      <w:r>
        <w:rPr>
          <w:rFonts w:eastAsia="仿宋_GB2312"/>
          <w:sz w:val="28"/>
          <w:u w:val="single"/>
        </w:rPr>
        <w:t xml:space="preserve">     </w:t>
      </w:r>
    </w:p>
    <w:p>
      <w:pPr>
        <w:snapToGrid w:val="0"/>
        <w:spacing w:line="532" w:lineRule="atLeast"/>
        <w:ind w:firstLine="565" w:firstLineChars="202"/>
        <w:textAlignment w:val="baseline"/>
      </w:pPr>
      <w:r>
        <w:rPr>
          <w:rFonts w:eastAsia="仿宋_GB2312"/>
          <w:sz w:val="28"/>
        </w:rPr>
        <w:t xml:space="preserve">        </w:t>
      </w:r>
      <w:r>
        <w:rPr>
          <w:rFonts w:hint="eastAsia" w:eastAsia="仿宋_GB2312"/>
          <w:sz w:val="28"/>
        </w:rPr>
        <w:t>联系电话：</w:t>
      </w:r>
      <w:r>
        <w:rPr>
          <w:rFonts w:eastAsia="仿宋_GB2312"/>
          <w:sz w:val="28"/>
          <w:u w:val="single"/>
        </w:rPr>
        <w:t xml:space="preserve">        </w:t>
      </w:r>
      <w:r>
        <w:rPr>
          <w:rFonts w:hint="eastAsia" w:ascii="仿宋_GB2312" w:hAnsi="宋体" w:eastAsia="仿宋_GB2312"/>
          <w:bCs/>
          <w:sz w:val="28"/>
          <w:szCs w:val="28"/>
          <w:u w:val="single"/>
        </w:rPr>
        <w:t>15858178820</w:t>
      </w:r>
      <w:r>
        <w:rPr>
          <w:rFonts w:hint="eastAsia" w:ascii="仿宋_GB2312" w:eastAsia="仿宋_GB2312"/>
          <w:sz w:val="28"/>
          <w:u w:val="single"/>
        </w:rPr>
        <w:t xml:space="preserve">    </w:t>
      </w:r>
      <w:r>
        <w:rPr>
          <w:rFonts w:eastAsia="仿宋_GB2312"/>
          <w:sz w:val="28"/>
          <w:u w:val="single"/>
        </w:rPr>
        <w:t xml:space="preserve">             </w:t>
      </w:r>
    </w:p>
    <w:p>
      <w:pPr>
        <w:snapToGrid w:val="0"/>
        <w:spacing w:line="532" w:lineRule="atLeast"/>
        <w:ind w:firstLine="565" w:firstLineChars="202"/>
        <w:textAlignment w:val="baseline"/>
      </w:pPr>
      <w:r>
        <w:rPr>
          <w:rFonts w:eastAsia="仿宋_GB2312"/>
          <w:sz w:val="28"/>
        </w:rPr>
        <w:t xml:space="preserve">        </w:t>
      </w:r>
      <w:r>
        <w:rPr>
          <w:rFonts w:hint="eastAsia" w:eastAsia="仿宋_GB2312"/>
          <w:sz w:val="28"/>
        </w:rPr>
        <w:t>电子邮箱：</w:t>
      </w:r>
      <w:r>
        <w:rPr>
          <w:rFonts w:eastAsia="仿宋_GB2312"/>
          <w:sz w:val="28"/>
          <w:u w:val="single"/>
        </w:rPr>
        <w:t xml:space="preserve">       </w:t>
      </w:r>
      <w:r>
        <w:rPr>
          <w:rFonts w:hint="eastAsia" w:ascii="仿宋_GB2312" w:eastAsia="仿宋_GB2312"/>
          <w:sz w:val="28"/>
          <w:u w:val="single"/>
        </w:rPr>
        <w:t xml:space="preserve"> </w:t>
      </w:r>
      <w:r>
        <w:rPr>
          <w:rFonts w:hint="eastAsia" w:ascii="仿宋_GB2312" w:hAnsi="宋体" w:eastAsia="仿宋_GB2312"/>
          <w:bCs/>
          <w:sz w:val="28"/>
          <w:szCs w:val="28"/>
          <w:u w:val="single"/>
        </w:rPr>
        <w:t>229944858@qq.com</w:t>
      </w:r>
      <w:r>
        <w:rPr>
          <w:rFonts w:hint="eastAsia" w:ascii="仿宋_GB2312" w:eastAsia="仿宋_GB2312"/>
          <w:sz w:val="28"/>
          <w:u w:val="single"/>
        </w:rPr>
        <w:t xml:space="preserve">  </w:t>
      </w:r>
      <w:r>
        <w:rPr>
          <w:rFonts w:eastAsia="仿宋_GB2312"/>
          <w:sz w:val="28"/>
          <w:u w:val="single"/>
        </w:rPr>
        <w:t xml:space="preserve">          </w:t>
      </w:r>
    </w:p>
    <w:p>
      <w:pPr>
        <w:snapToGrid w:val="0"/>
        <w:spacing w:line="532" w:lineRule="atLeast"/>
        <w:ind w:firstLine="565" w:firstLineChars="202"/>
        <w:textAlignment w:val="baseline"/>
        <w:rPr>
          <w:rFonts w:eastAsia="仿宋_GB2312"/>
          <w:sz w:val="28"/>
        </w:rPr>
      </w:pPr>
      <w:r>
        <w:rPr>
          <w:rFonts w:eastAsia="仿宋_GB2312"/>
          <w:sz w:val="28"/>
        </w:rPr>
        <w:t xml:space="preserve">     </w:t>
      </w:r>
    </w:p>
    <w:p>
      <w:pPr>
        <w:snapToGrid w:val="0"/>
        <w:spacing w:line="544" w:lineRule="atLeast"/>
        <w:jc w:val="center"/>
        <w:textAlignment w:val="baseline"/>
      </w:pPr>
    </w:p>
    <w:p>
      <w:pPr>
        <w:snapToGrid w:val="0"/>
        <w:spacing w:line="544" w:lineRule="atLeast"/>
        <w:jc w:val="center"/>
        <w:textAlignment w:val="baseline"/>
      </w:pPr>
    </w:p>
    <w:p>
      <w:pPr>
        <w:snapToGrid w:val="0"/>
        <w:spacing w:line="544" w:lineRule="atLeast"/>
        <w:jc w:val="center"/>
        <w:textAlignment w:val="baseline"/>
      </w:pPr>
    </w:p>
    <w:p>
      <w:pPr>
        <w:snapToGrid w:val="0"/>
        <w:spacing w:line="544" w:lineRule="atLeast"/>
        <w:jc w:val="center"/>
        <w:textAlignment w:val="baseline"/>
      </w:pPr>
    </w:p>
    <w:p>
      <w:pPr>
        <w:snapToGrid w:val="0"/>
        <w:spacing w:line="532" w:lineRule="atLeast"/>
        <w:jc w:val="center"/>
        <w:textAlignment w:val="baseline"/>
        <w:rPr>
          <w:sz w:val="32"/>
          <w:szCs w:val="32"/>
        </w:rPr>
      </w:pPr>
      <w:r>
        <w:rPr>
          <w:rFonts w:hint="eastAsia" w:eastAsia="仿宋_GB2312"/>
          <w:sz w:val="32"/>
          <w:szCs w:val="32"/>
        </w:rPr>
        <w:t>浙</w:t>
      </w:r>
      <w:r>
        <w:rPr>
          <w:rFonts w:eastAsia="仿宋_GB2312"/>
          <w:sz w:val="32"/>
          <w:szCs w:val="32"/>
        </w:rPr>
        <w:t xml:space="preserve"> </w:t>
      </w:r>
      <w:r>
        <w:rPr>
          <w:rFonts w:hint="eastAsia" w:eastAsia="仿宋_GB2312"/>
          <w:sz w:val="32"/>
          <w:szCs w:val="32"/>
        </w:rPr>
        <w:t>江</w:t>
      </w:r>
      <w:r>
        <w:rPr>
          <w:rFonts w:eastAsia="仿宋_GB2312"/>
          <w:sz w:val="32"/>
          <w:szCs w:val="32"/>
        </w:rPr>
        <w:t xml:space="preserve"> </w:t>
      </w:r>
      <w:r>
        <w:rPr>
          <w:rFonts w:hint="eastAsia" w:eastAsia="仿宋_GB2312"/>
          <w:sz w:val="32"/>
          <w:szCs w:val="32"/>
        </w:rPr>
        <w:t>省</w:t>
      </w:r>
      <w:r>
        <w:rPr>
          <w:rFonts w:eastAsia="仿宋_GB2312"/>
          <w:sz w:val="32"/>
          <w:szCs w:val="32"/>
        </w:rPr>
        <w:t xml:space="preserve"> </w:t>
      </w:r>
      <w:r>
        <w:rPr>
          <w:rFonts w:hint="eastAsia" w:eastAsia="仿宋_GB2312"/>
          <w:sz w:val="32"/>
          <w:szCs w:val="32"/>
        </w:rPr>
        <w:t>教</w:t>
      </w:r>
      <w:r>
        <w:rPr>
          <w:rFonts w:eastAsia="仿宋_GB2312"/>
          <w:sz w:val="32"/>
          <w:szCs w:val="32"/>
        </w:rPr>
        <w:t xml:space="preserve"> </w:t>
      </w:r>
      <w:r>
        <w:rPr>
          <w:rFonts w:hint="eastAsia" w:eastAsia="仿宋_GB2312"/>
          <w:sz w:val="32"/>
          <w:szCs w:val="32"/>
        </w:rPr>
        <w:t>育</w:t>
      </w:r>
      <w:r>
        <w:rPr>
          <w:rFonts w:eastAsia="仿宋_GB2312"/>
          <w:sz w:val="32"/>
          <w:szCs w:val="32"/>
        </w:rPr>
        <w:t xml:space="preserve"> </w:t>
      </w:r>
      <w:r>
        <w:rPr>
          <w:rFonts w:hint="eastAsia" w:eastAsia="仿宋_GB2312"/>
          <w:sz w:val="32"/>
          <w:szCs w:val="32"/>
        </w:rPr>
        <w:t>厅</w:t>
      </w:r>
    </w:p>
    <w:p>
      <w:pPr>
        <w:snapToGrid w:val="0"/>
        <w:spacing w:line="544" w:lineRule="atLeast"/>
        <w:textAlignment w:val="baseline"/>
        <w:rPr>
          <w:rFonts w:eastAsia="仿宋_GB2312"/>
          <w:b/>
          <w:sz w:val="28"/>
        </w:rPr>
      </w:pPr>
    </w:p>
    <w:p>
      <w:pPr>
        <w:snapToGrid w:val="0"/>
        <w:spacing w:line="544" w:lineRule="atLeast"/>
        <w:textAlignment w:val="baseline"/>
        <w:rPr>
          <w:rFonts w:eastAsia="仿宋_GB2312"/>
          <w:b/>
          <w:sz w:val="28"/>
        </w:rPr>
        <w:sectPr>
          <w:pgSz w:w="11906" w:h="16838"/>
          <w:pgMar w:top="1928" w:right="1531" w:bottom="1928" w:left="1531" w:header="851" w:footer="1418" w:gutter="0"/>
          <w:pgNumType w:fmt="numberInDash"/>
          <w:cols w:space="720" w:num="1"/>
          <w:docGrid w:type="lines" w:linePitch="312" w:charSpace="0"/>
        </w:sectPr>
      </w:pPr>
    </w:p>
    <w:p>
      <w:pPr>
        <w:snapToGrid w:val="0"/>
        <w:spacing w:line="544" w:lineRule="atLeast"/>
        <w:textAlignment w:val="baseline"/>
        <w:rPr>
          <w:rFonts w:eastAsia="仿宋_GB2312"/>
          <w:b/>
          <w:sz w:val="28"/>
        </w:rPr>
      </w:pPr>
      <w:r>
        <w:rPr>
          <w:rFonts w:hint="eastAsia" w:eastAsia="仿宋_GB2312"/>
          <w:b/>
          <w:sz w:val="28"/>
        </w:rPr>
        <w:t>一、简表</w:t>
      </w:r>
    </w:p>
    <w:tbl>
      <w:tblPr>
        <w:tblStyle w:val="7"/>
        <w:tblW w:w="0" w:type="auto"/>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81"/>
        <w:gridCol w:w="887"/>
        <w:gridCol w:w="401"/>
        <w:gridCol w:w="182"/>
        <w:gridCol w:w="126"/>
        <w:gridCol w:w="382"/>
        <w:gridCol w:w="194"/>
        <w:gridCol w:w="558"/>
        <w:gridCol w:w="237"/>
        <w:gridCol w:w="94"/>
        <w:gridCol w:w="39"/>
        <w:gridCol w:w="339"/>
        <w:gridCol w:w="517"/>
        <w:gridCol w:w="121"/>
        <w:gridCol w:w="454"/>
        <w:gridCol w:w="183"/>
        <w:gridCol w:w="231"/>
        <w:gridCol w:w="336"/>
        <w:gridCol w:w="426"/>
        <w:gridCol w:w="73"/>
        <w:gridCol w:w="210"/>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46" w:type="dxa"/>
            <w:vMerge w:val="restart"/>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项</w:t>
            </w:r>
          </w:p>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目</w:t>
            </w:r>
          </w:p>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简</w:t>
            </w:r>
          </w:p>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况</w:t>
            </w:r>
          </w:p>
        </w:tc>
        <w:tc>
          <w:tcPr>
            <w:tcW w:w="1381" w:type="dxa"/>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项目名称</w:t>
            </w:r>
          </w:p>
        </w:tc>
        <w:tc>
          <w:tcPr>
            <w:tcW w:w="7327" w:type="dxa"/>
            <w:gridSpan w:val="21"/>
            <w:vAlign w:val="center"/>
          </w:tcPr>
          <w:p>
            <w:pPr>
              <w:snapToGrid w:val="0"/>
              <w:spacing w:line="532" w:lineRule="atLeast"/>
              <w:textAlignment w:val="baseline"/>
              <w:rPr>
                <w:rFonts w:hint="eastAsia" w:ascii="仿宋_GB2312" w:hAnsi="宋体" w:eastAsia="仿宋_GB2312"/>
                <w:bCs/>
                <w:szCs w:val="21"/>
              </w:rPr>
            </w:pPr>
            <w:r>
              <w:rPr>
                <w:rFonts w:hint="eastAsia" w:ascii="仿宋_GB2312" w:hAnsi="宋体" w:eastAsia="仿宋_GB2312"/>
                <w:bCs/>
                <w:szCs w:val="21"/>
              </w:rPr>
              <w:t>基于OBE理念的产品设计专业核心课程一体化建设的探索与实践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项目类别</w:t>
            </w:r>
          </w:p>
        </w:tc>
        <w:tc>
          <w:tcPr>
            <w:tcW w:w="7327" w:type="dxa"/>
            <w:gridSpan w:val="21"/>
            <w:vAlign w:val="center"/>
          </w:tcPr>
          <w:p>
            <w:pPr>
              <w:snapToGrid w:val="0"/>
              <w:spacing w:line="320" w:lineRule="exact"/>
              <w:ind w:firstLine="1260" w:firstLineChars="600"/>
              <w:textAlignment w:val="baseline"/>
              <w:rPr>
                <w:rFonts w:hint="eastAsia" w:ascii="仿宋_GB2312" w:eastAsia="仿宋_GB2312"/>
                <w:szCs w:val="21"/>
              </w:rPr>
            </w:pPr>
            <w:r>
              <w:rPr>
                <w:rFonts w:hint="eastAsia" w:ascii="仿宋_GB2312" w:eastAsia="仿宋_GB2312"/>
                <w:szCs w:val="21"/>
              </w:rPr>
              <w:t>A、总体研究      B、专业大类    C、教学管理</w:t>
            </w:r>
          </w:p>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D、课程改革</w:t>
            </w:r>
            <w:r>
              <w:rPr>
                <w:rFonts w:hint="eastAsia" w:ascii="仿宋_GB2312" w:eastAsia="仿宋_GB2312"/>
                <w:szCs w:val="21"/>
              </w:rPr>
              <w:sym w:font="Wingdings" w:char="F0FC"/>
            </w:r>
            <w:r>
              <w:rPr>
                <w:rFonts w:hint="eastAsia" w:ascii="仿宋_GB2312" w:eastAsia="仿宋_GB2312"/>
                <w:szCs w:val="21"/>
              </w:rPr>
              <w:t xml:space="preserve">    E、实验实践   F、自选项目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起止年月</w:t>
            </w:r>
          </w:p>
        </w:tc>
        <w:tc>
          <w:tcPr>
            <w:tcW w:w="7327" w:type="dxa"/>
            <w:gridSpan w:val="21"/>
            <w:vAlign w:val="center"/>
          </w:tcPr>
          <w:p>
            <w:pPr>
              <w:spacing w:line="283" w:lineRule="exact"/>
              <w:ind w:firstLine="835" w:firstLineChars="398"/>
              <w:rPr>
                <w:rFonts w:hint="eastAsia" w:ascii="仿宋_GB2312" w:eastAsia="仿宋_GB2312"/>
                <w:bCs/>
                <w:color w:val="000000"/>
                <w:szCs w:val="21"/>
              </w:rPr>
            </w:pPr>
            <w:r>
              <w:rPr>
                <w:rFonts w:hint="eastAsia" w:ascii="仿宋_GB2312" w:eastAsia="仿宋_GB2312"/>
                <w:bCs/>
                <w:color w:val="000000"/>
                <w:szCs w:val="21"/>
              </w:rPr>
              <w:t xml:space="preserve">2019年 12月至2021年 12月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46" w:type="dxa"/>
            <w:vMerge w:val="restart"/>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项</w:t>
            </w:r>
          </w:p>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目</w:t>
            </w:r>
          </w:p>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申</w:t>
            </w:r>
          </w:p>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请</w:t>
            </w:r>
          </w:p>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人</w:t>
            </w:r>
          </w:p>
        </w:tc>
        <w:tc>
          <w:tcPr>
            <w:tcW w:w="1381" w:type="dxa"/>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姓   名</w:t>
            </w:r>
          </w:p>
        </w:tc>
        <w:tc>
          <w:tcPr>
            <w:tcW w:w="2172" w:type="dxa"/>
            <w:gridSpan w:val="6"/>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陆少坎</w:t>
            </w:r>
          </w:p>
        </w:tc>
        <w:tc>
          <w:tcPr>
            <w:tcW w:w="928"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性别</w:t>
            </w:r>
          </w:p>
        </w:tc>
        <w:tc>
          <w:tcPr>
            <w:tcW w:w="977"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男</w:t>
            </w:r>
          </w:p>
        </w:tc>
        <w:tc>
          <w:tcPr>
            <w:tcW w:w="1204"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出生年月</w:t>
            </w:r>
          </w:p>
        </w:tc>
        <w:tc>
          <w:tcPr>
            <w:tcW w:w="2046" w:type="dxa"/>
            <w:gridSpan w:val="4"/>
            <w:vAlign w:val="center"/>
          </w:tcPr>
          <w:p>
            <w:pPr>
              <w:snapToGrid w:val="0"/>
              <w:spacing w:line="320" w:lineRule="exact"/>
              <w:jc w:val="center"/>
              <w:textAlignment w:val="baseline"/>
              <w:rPr>
                <w:rFonts w:hint="eastAsia" w:ascii="仿宋_GB2312" w:eastAsia="仿宋_GB2312" w:hAnsiTheme="minorEastAsia"/>
                <w:szCs w:val="21"/>
              </w:rPr>
            </w:pPr>
            <w:r>
              <w:rPr>
                <w:rFonts w:hint="eastAsia" w:ascii="仿宋_GB2312" w:eastAsia="仿宋_GB2312" w:hAnsiTheme="minorEastAsia"/>
                <w:szCs w:val="21"/>
              </w:rPr>
              <w:t>1984.9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2669"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专业技术职务/行政职务</w:t>
            </w:r>
          </w:p>
        </w:tc>
        <w:tc>
          <w:tcPr>
            <w:tcW w:w="1812" w:type="dxa"/>
            <w:gridSpan w:val="8"/>
            <w:vAlign w:val="center"/>
          </w:tcPr>
          <w:p>
            <w:pPr>
              <w:snapToGrid w:val="0"/>
              <w:spacing w:line="320" w:lineRule="exact"/>
              <w:ind w:firstLine="210" w:firstLineChars="100"/>
              <w:textAlignment w:val="baseline"/>
              <w:rPr>
                <w:rFonts w:hint="eastAsia" w:ascii="仿宋_GB2312" w:eastAsia="仿宋_GB2312"/>
                <w:szCs w:val="21"/>
              </w:rPr>
            </w:pPr>
            <w:r>
              <w:rPr>
                <w:rFonts w:hint="eastAsia" w:ascii="仿宋_GB2312" w:eastAsia="仿宋_GB2312"/>
                <w:szCs w:val="21"/>
              </w:rPr>
              <w:t>讲师/院长助理</w:t>
            </w:r>
          </w:p>
        </w:tc>
        <w:tc>
          <w:tcPr>
            <w:tcW w:w="2181" w:type="dxa"/>
            <w:gridSpan w:val="7"/>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最终学位/授予国家</w:t>
            </w:r>
          </w:p>
        </w:tc>
        <w:tc>
          <w:tcPr>
            <w:tcW w:w="2046"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硕士/中国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Merge w:val="restart"/>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所在学校</w:t>
            </w:r>
          </w:p>
        </w:tc>
        <w:tc>
          <w:tcPr>
            <w:tcW w:w="1288" w:type="dxa"/>
            <w:gridSpan w:val="2"/>
            <w:vMerge w:val="restart"/>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学校名称</w:t>
            </w:r>
          </w:p>
        </w:tc>
        <w:tc>
          <w:tcPr>
            <w:tcW w:w="2789" w:type="dxa"/>
            <w:gridSpan w:val="11"/>
            <w:vMerge w:val="restart"/>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浙江工业大学之江学院</w:t>
            </w:r>
          </w:p>
        </w:tc>
        <w:tc>
          <w:tcPr>
            <w:tcW w:w="1204"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邮政编码</w:t>
            </w:r>
          </w:p>
        </w:tc>
        <w:tc>
          <w:tcPr>
            <w:tcW w:w="2046" w:type="dxa"/>
            <w:gridSpan w:val="4"/>
            <w:vAlign w:val="center"/>
          </w:tcPr>
          <w:p>
            <w:pPr>
              <w:ind w:firstLine="210" w:firstLineChars="100"/>
              <w:rPr>
                <w:rFonts w:hint="eastAsia" w:ascii="仿宋_GB2312" w:eastAsia="仿宋_GB2312"/>
                <w:szCs w:val="21"/>
              </w:rPr>
            </w:pPr>
            <w:r>
              <w:rPr>
                <w:rFonts w:hint="eastAsia" w:ascii="仿宋_GB2312" w:eastAsia="仿宋_GB2312"/>
                <w:szCs w:val="21"/>
              </w:rPr>
              <w:t>312030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Merge w:val="continue"/>
            <w:vAlign w:val="center"/>
          </w:tcPr>
          <w:p>
            <w:pPr>
              <w:snapToGrid w:val="0"/>
              <w:spacing w:line="320" w:lineRule="exact"/>
              <w:jc w:val="center"/>
              <w:textAlignment w:val="baseline"/>
              <w:rPr>
                <w:rFonts w:hint="eastAsia" w:ascii="仿宋_GB2312" w:eastAsia="仿宋_GB2312"/>
                <w:szCs w:val="21"/>
              </w:rPr>
            </w:pPr>
          </w:p>
        </w:tc>
        <w:tc>
          <w:tcPr>
            <w:tcW w:w="1288" w:type="dxa"/>
            <w:gridSpan w:val="2"/>
            <w:vMerge w:val="continue"/>
            <w:vAlign w:val="center"/>
          </w:tcPr>
          <w:p>
            <w:pPr>
              <w:snapToGrid w:val="0"/>
              <w:spacing w:line="320" w:lineRule="exact"/>
              <w:jc w:val="center"/>
              <w:textAlignment w:val="baseline"/>
              <w:rPr>
                <w:rFonts w:hint="eastAsia" w:ascii="仿宋_GB2312" w:eastAsia="仿宋_GB2312"/>
                <w:szCs w:val="21"/>
              </w:rPr>
            </w:pPr>
          </w:p>
        </w:tc>
        <w:tc>
          <w:tcPr>
            <w:tcW w:w="2789" w:type="dxa"/>
            <w:gridSpan w:val="11"/>
            <w:vMerge w:val="continue"/>
            <w:vAlign w:val="center"/>
          </w:tcPr>
          <w:p>
            <w:pPr>
              <w:snapToGrid w:val="0"/>
              <w:spacing w:line="320" w:lineRule="exact"/>
              <w:jc w:val="center"/>
              <w:textAlignment w:val="baseline"/>
              <w:rPr>
                <w:rFonts w:hint="eastAsia" w:ascii="仿宋_GB2312" w:eastAsia="仿宋_GB2312"/>
                <w:szCs w:val="21"/>
              </w:rPr>
            </w:pPr>
          </w:p>
        </w:tc>
        <w:tc>
          <w:tcPr>
            <w:tcW w:w="1204"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电话</w:t>
            </w:r>
          </w:p>
        </w:tc>
        <w:tc>
          <w:tcPr>
            <w:tcW w:w="2046"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15858178820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Merge w:val="continue"/>
            <w:vAlign w:val="center"/>
          </w:tcPr>
          <w:p>
            <w:pPr>
              <w:snapToGrid w:val="0"/>
              <w:spacing w:line="320" w:lineRule="exact"/>
              <w:jc w:val="center"/>
              <w:textAlignment w:val="baseline"/>
              <w:rPr>
                <w:rFonts w:hint="eastAsia" w:ascii="仿宋_GB2312" w:eastAsia="仿宋_GB2312"/>
                <w:szCs w:val="21"/>
              </w:rPr>
            </w:pPr>
          </w:p>
        </w:tc>
        <w:tc>
          <w:tcPr>
            <w:tcW w:w="1288" w:type="dxa"/>
            <w:gridSpan w:val="2"/>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通讯地址</w:t>
            </w:r>
          </w:p>
        </w:tc>
        <w:tc>
          <w:tcPr>
            <w:tcW w:w="6039" w:type="dxa"/>
            <w:gridSpan w:val="19"/>
            <w:vAlign w:val="center"/>
          </w:tcPr>
          <w:p>
            <w:pPr>
              <w:snapToGrid w:val="0"/>
              <w:spacing w:line="320" w:lineRule="exact"/>
              <w:jc w:val="center"/>
              <w:textAlignment w:val="baseline"/>
              <w:rPr>
                <w:rFonts w:hint="eastAsia" w:ascii="仿宋_GB2312" w:eastAsia="仿宋_GB2312"/>
                <w:szCs w:val="21"/>
              </w:rPr>
            </w:pPr>
            <w:r>
              <w:rPr>
                <w:rFonts w:hint="eastAsia" w:ascii="仿宋_GB2312" w:hAnsi="宋体" w:eastAsia="仿宋_GB2312"/>
                <w:bCs/>
                <w:szCs w:val="21"/>
              </w:rPr>
              <w:t>绍兴市柯桥区越州大道958号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Merge w:val="restart"/>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主要教学</w:t>
            </w:r>
          </w:p>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工作简历</w:t>
            </w:r>
          </w:p>
        </w:tc>
        <w:tc>
          <w:tcPr>
            <w:tcW w:w="147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时间</w:t>
            </w:r>
          </w:p>
        </w:tc>
        <w:tc>
          <w:tcPr>
            <w:tcW w:w="1591" w:type="dxa"/>
            <w:gridSpan w:val="6"/>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课程名称</w:t>
            </w:r>
          </w:p>
        </w:tc>
        <w:tc>
          <w:tcPr>
            <w:tcW w:w="1470" w:type="dxa"/>
            <w:gridSpan w:val="5"/>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授课对象</w:t>
            </w:r>
          </w:p>
        </w:tc>
        <w:tc>
          <w:tcPr>
            <w:tcW w:w="1176"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学时</w:t>
            </w:r>
          </w:p>
        </w:tc>
        <w:tc>
          <w:tcPr>
            <w:tcW w:w="162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Merge w:val="continue"/>
            <w:vAlign w:val="center"/>
          </w:tcPr>
          <w:p>
            <w:pPr>
              <w:snapToGrid w:val="0"/>
              <w:spacing w:line="320" w:lineRule="exact"/>
              <w:jc w:val="center"/>
              <w:textAlignment w:val="baseline"/>
              <w:rPr>
                <w:rFonts w:hint="eastAsia" w:ascii="仿宋_GB2312" w:eastAsia="仿宋_GB2312"/>
                <w:szCs w:val="21"/>
              </w:rPr>
            </w:pPr>
          </w:p>
        </w:tc>
        <w:tc>
          <w:tcPr>
            <w:tcW w:w="147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2010.9至今</w:t>
            </w:r>
          </w:p>
        </w:tc>
        <w:tc>
          <w:tcPr>
            <w:tcW w:w="1591" w:type="dxa"/>
            <w:gridSpan w:val="6"/>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产品品牌设计与推广</w:t>
            </w:r>
          </w:p>
        </w:tc>
        <w:tc>
          <w:tcPr>
            <w:tcW w:w="1470" w:type="dxa"/>
            <w:gridSpan w:val="5"/>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16产品设计</w:t>
            </w:r>
          </w:p>
        </w:tc>
        <w:tc>
          <w:tcPr>
            <w:tcW w:w="1176"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48</w:t>
            </w:r>
          </w:p>
        </w:tc>
        <w:tc>
          <w:tcPr>
            <w:tcW w:w="162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浙江工业大学之江学院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Merge w:val="continue"/>
            <w:vAlign w:val="center"/>
          </w:tcPr>
          <w:p>
            <w:pPr>
              <w:snapToGrid w:val="0"/>
              <w:spacing w:line="320" w:lineRule="exact"/>
              <w:jc w:val="center"/>
              <w:textAlignment w:val="baseline"/>
              <w:rPr>
                <w:rFonts w:hint="eastAsia" w:ascii="仿宋_GB2312" w:eastAsia="仿宋_GB2312"/>
                <w:szCs w:val="21"/>
              </w:rPr>
            </w:pPr>
          </w:p>
        </w:tc>
        <w:tc>
          <w:tcPr>
            <w:tcW w:w="147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2013.9至今</w:t>
            </w:r>
          </w:p>
        </w:tc>
        <w:tc>
          <w:tcPr>
            <w:tcW w:w="1591" w:type="dxa"/>
            <w:gridSpan w:val="6"/>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计算机辅助设计II</w:t>
            </w:r>
          </w:p>
        </w:tc>
        <w:tc>
          <w:tcPr>
            <w:tcW w:w="1470" w:type="dxa"/>
            <w:gridSpan w:val="5"/>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18产品设计</w:t>
            </w:r>
          </w:p>
        </w:tc>
        <w:tc>
          <w:tcPr>
            <w:tcW w:w="1176"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64</w:t>
            </w:r>
          </w:p>
        </w:tc>
        <w:tc>
          <w:tcPr>
            <w:tcW w:w="162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浙江工业大学之江学院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Merge w:val="continue"/>
            <w:vAlign w:val="center"/>
          </w:tcPr>
          <w:p>
            <w:pPr>
              <w:snapToGrid w:val="0"/>
              <w:spacing w:line="320" w:lineRule="exact"/>
              <w:jc w:val="center"/>
              <w:textAlignment w:val="baseline"/>
              <w:rPr>
                <w:rFonts w:hint="eastAsia" w:ascii="仿宋_GB2312" w:eastAsia="仿宋_GB2312"/>
                <w:szCs w:val="21"/>
              </w:rPr>
            </w:pPr>
          </w:p>
        </w:tc>
        <w:tc>
          <w:tcPr>
            <w:tcW w:w="147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2013.9至今</w:t>
            </w:r>
          </w:p>
        </w:tc>
        <w:tc>
          <w:tcPr>
            <w:tcW w:w="1591" w:type="dxa"/>
            <w:gridSpan w:val="6"/>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公共产品设计</w:t>
            </w:r>
          </w:p>
        </w:tc>
        <w:tc>
          <w:tcPr>
            <w:tcW w:w="1470" w:type="dxa"/>
            <w:gridSpan w:val="5"/>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17产品设计</w:t>
            </w:r>
          </w:p>
        </w:tc>
        <w:tc>
          <w:tcPr>
            <w:tcW w:w="1176"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64</w:t>
            </w:r>
          </w:p>
        </w:tc>
        <w:tc>
          <w:tcPr>
            <w:tcW w:w="162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浙江工业大学之江学院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Merge w:val="restart"/>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主要教学改革和科学研究工作简历</w:t>
            </w:r>
          </w:p>
        </w:tc>
        <w:tc>
          <w:tcPr>
            <w:tcW w:w="147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时间</w:t>
            </w:r>
          </w:p>
        </w:tc>
        <w:tc>
          <w:tcPr>
            <w:tcW w:w="4237" w:type="dxa"/>
            <w:gridSpan w:val="15"/>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项目名称</w:t>
            </w:r>
          </w:p>
        </w:tc>
        <w:tc>
          <w:tcPr>
            <w:tcW w:w="162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Merge w:val="continue"/>
            <w:vAlign w:val="center"/>
          </w:tcPr>
          <w:p>
            <w:pPr>
              <w:snapToGrid w:val="0"/>
              <w:spacing w:line="320" w:lineRule="exact"/>
              <w:jc w:val="center"/>
              <w:textAlignment w:val="baseline"/>
              <w:rPr>
                <w:rFonts w:hint="eastAsia" w:ascii="仿宋_GB2312" w:eastAsia="仿宋_GB2312"/>
                <w:szCs w:val="21"/>
              </w:rPr>
            </w:pPr>
          </w:p>
        </w:tc>
        <w:tc>
          <w:tcPr>
            <w:tcW w:w="147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2009</w:t>
            </w:r>
          </w:p>
        </w:tc>
        <w:tc>
          <w:tcPr>
            <w:tcW w:w="4237" w:type="dxa"/>
            <w:gridSpan w:val="15"/>
            <w:vAlign w:val="center"/>
          </w:tcPr>
          <w:p>
            <w:pPr>
              <w:spacing w:line="283" w:lineRule="exact"/>
              <w:jc w:val="center"/>
              <w:rPr>
                <w:rFonts w:hint="eastAsia" w:ascii="仿宋_GB2312" w:eastAsia="仿宋_GB2312"/>
                <w:szCs w:val="21"/>
              </w:rPr>
            </w:pPr>
            <w:r>
              <w:rPr>
                <w:rFonts w:hint="eastAsia" w:ascii="仿宋_GB2312" w:hAnsi="宋体" w:eastAsia="仿宋_GB2312"/>
                <w:szCs w:val="21"/>
              </w:rPr>
              <w:t>浙江文化工程课题：浙江民间美术概要</w:t>
            </w:r>
          </w:p>
        </w:tc>
        <w:tc>
          <w:tcPr>
            <w:tcW w:w="1620" w:type="dxa"/>
            <w:gridSpan w:val="3"/>
            <w:vAlign w:val="center"/>
          </w:tcPr>
          <w:p>
            <w:pPr>
              <w:snapToGrid w:val="0"/>
              <w:spacing w:line="320" w:lineRule="exact"/>
              <w:jc w:val="center"/>
              <w:textAlignment w:val="baseline"/>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Merge w:val="continue"/>
            <w:vAlign w:val="center"/>
          </w:tcPr>
          <w:p>
            <w:pPr>
              <w:snapToGrid w:val="0"/>
              <w:spacing w:line="320" w:lineRule="exact"/>
              <w:jc w:val="center"/>
              <w:textAlignment w:val="baseline"/>
              <w:rPr>
                <w:rFonts w:hint="eastAsia" w:ascii="仿宋_GB2312" w:eastAsia="仿宋_GB2312"/>
                <w:szCs w:val="21"/>
              </w:rPr>
            </w:pPr>
          </w:p>
        </w:tc>
        <w:tc>
          <w:tcPr>
            <w:tcW w:w="1470"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2019</w:t>
            </w:r>
          </w:p>
        </w:tc>
        <w:tc>
          <w:tcPr>
            <w:tcW w:w="4237" w:type="dxa"/>
            <w:gridSpan w:val="15"/>
            <w:vAlign w:val="center"/>
          </w:tcPr>
          <w:p>
            <w:pPr>
              <w:snapToGrid w:val="0"/>
              <w:spacing w:line="320" w:lineRule="exact"/>
              <w:jc w:val="center"/>
              <w:textAlignment w:val="baseline"/>
              <w:rPr>
                <w:rFonts w:hint="eastAsia" w:ascii="仿宋_GB2312" w:eastAsia="仿宋_GB2312"/>
                <w:szCs w:val="21"/>
              </w:rPr>
            </w:pPr>
            <w:r>
              <w:rPr>
                <w:rFonts w:hint="eastAsia" w:ascii="仿宋_GB2312" w:hAnsi="宋体" w:eastAsia="仿宋_GB2312"/>
                <w:color w:val="000000"/>
                <w:szCs w:val="21"/>
              </w:rPr>
              <w:t>绍兴时尚产业发展中的本土化创意设计方法研究：以“创柯桥”绍台大学生设计营为例</w:t>
            </w:r>
          </w:p>
        </w:tc>
        <w:tc>
          <w:tcPr>
            <w:tcW w:w="1620" w:type="dxa"/>
            <w:gridSpan w:val="3"/>
            <w:vAlign w:val="center"/>
          </w:tcPr>
          <w:p>
            <w:pPr>
              <w:snapToGrid w:val="0"/>
              <w:spacing w:line="320" w:lineRule="exact"/>
              <w:jc w:val="center"/>
              <w:textAlignment w:val="baseline"/>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46" w:type="dxa"/>
            <w:vMerge w:val="restart"/>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项</w:t>
            </w:r>
          </w:p>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目</w:t>
            </w:r>
          </w:p>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组</w:t>
            </w:r>
          </w:p>
        </w:tc>
        <w:tc>
          <w:tcPr>
            <w:tcW w:w="1381" w:type="dxa"/>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总人数</w:t>
            </w:r>
          </w:p>
        </w:tc>
        <w:tc>
          <w:tcPr>
            <w:tcW w:w="887" w:type="dxa"/>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高级</w:t>
            </w:r>
          </w:p>
        </w:tc>
        <w:tc>
          <w:tcPr>
            <w:tcW w:w="1091"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中级</w:t>
            </w:r>
          </w:p>
        </w:tc>
        <w:tc>
          <w:tcPr>
            <w:tcW w:w="989"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初级</w:t>
            </w:r>
          </w:p>
        </w:tc>
        <w:tc>
          <w:tcPr>
            <w:tcW w:w="989"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博士后</w:t>
            </w:r>
          </w:p>
        </w:tc>
        <w:tc>
          <w:tcPr>
            <w:tcW w:w="989"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博士</w:t>
            </w:r>
          </w:p>
        </w:tc>
        <w:tc>
          <w:tcPr>
            <w:tcW w:w="835"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硕士</w:t>
            </w:r>
          </w:p>
        </w:tc>
        <w:tc>
          <w:tcPr>
            <w:tcW w:w="1547" w:type="dxa"/>
            <w:gridSpan w:val="2"/>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320" w:lineRule="exact"/>
              <w:jc w:val="center"/>
              <w:textAlignment w:val="baseline"/>
              <w:rPr>
                <w:rFonts w:hint="eastAsia" w:ascii="仿宋_GB2312" w:eastAsia="仿宋_GB2312"/>
                <w:szCs w:val="21"/>
              </w:rPr>
            </w:pPr>
          </w:p>
        </w:tc>
        <w:tc>
          <w:tcPr>
            <w:tcW w:w="1381" w:type="dxa"/>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5</w:t>
            </w:r>
          </w:p>
        </w:tc>
        <w:tc>
          <w:tcPr>
            <w:tcW w:w="887" w:type="dxa"/>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2</w:t>
            </w:r>
          </w:p>
        </w:tc>
        <w:tc>
          <w:tcPr>
            <w:tcW w:w="1091"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3</w:t>
            </w:r>
          </w:p>
        </w:tc>
        <w:tc>
          <w:tcPr>
            <w:tcW w:w="989"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0</w:t>
            </w:r>
          </w:p>
        </w:tc>
        <w:tc>
          <w:tcPr>
            <w:tcW w:w="989"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0</w:t>
            </w:r>
          </w:p>
        </w:tc>
        <w:tc>
          <w:tcPr>
            <w:tcW w:w="989" w:type="dxa"/>
            <w:gridSpan w:val="4"/>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1</w:t>
            </w:r>
          </w:p>
        </w:tc>
        <w:tc>
          <w:tcPr>
            <w:tcW w:w="835" w:type="dxa"/>
            <w:gridSpan w:val="3"/>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4</w:t>
            </w:r>
          </w:p>
        </w:tc>
        <w:tc>
          <w:tcPr>
            <w:tcW w:w="1547" w:type="dxa"/>
            <w:gridSpan w:val="2"/>
            <w:vAlign w:val="center"/>
          </w:tcPr>
          <w:p>
            <w:pPr>
              <w:snapToGrid w:val="0"/>
              <w:spacing w:line="320" w:lineRule="exact"/>
              <w:jc w:val="center"/>
              <w:textAlignment w:val="baseline"/>
              <w:rPr>
                <w:rFonts w:hint="eastAsia"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460" w:lineRule="exact"/>
              <w:jc w:val="center"/>
              <w:textAlignment w:val="baseline"/>
              <w:rPr>
                <w:rFonts w:hint="eastAsia" w:ascii="仿宋_GB2312" w:eastAsia="仿宋_GB2312"/>
                <w:szCs w:val="21"/>
              </w:rPr>
            </w:pPr>
          </w:p>
        </w:tc>
        <w:tc>
          <w:tcPr>
            <w:tcW w:w="1381" w:type="dxa"/>
            <w:vMerge w:val="restart"/>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主要成员</w:t>
            </w:r>
          </w:p>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不含申请者</w:t>
            </w:r>
          </w:p>
        </w:tc>
        <w:tc>
          <w:tcPr>
            <w:tcW w:w="887" w:type="dxa"/>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姓名</w:t>
            </w:r>
          </w:p>
        </w:tc>
        <w:tc>
          <w:tcPr>
            <w:tcW w:w="709" w:type="dxa"/>
            <w:gridSpan w:val="3"/>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性别</w:t>
            </w:r>
          </w:p>
        </w:tc>
        <w:tc>
          <w:tcPr>
            <w:tcW w:w="1134" w:type="dxa"/>
            <w:gridSpan w:val="3"/>
            <w:vAlign w:val="center"/>
          </w:tcPr>
          <w:p>
            <w:pPr>
              <w:snapToGrid w:val="0"/>
              <w:spacing w:line="460" w:lineRule="exact"/>
              <w:jc w:val="left"/>
              <w:textAlignment w:val="baseline"/>
              <w:rPr>
                <w:rFonts w:hint="eastAsia" w:ascii="仿宋_GB2312" w:eastAsia="仿宋_GB2312"/>
                <w:szCs w:val="21"/>
              </w:rPr>
            </w:pPr>
            <w:r>
              <w:rPr>
                <w:rFonts w:hint="eastAsia" w:ascii="仿宋_GB2312" w:eastAsia="仿宋_GB2312"/>
                <w:szCs w:val="21"/>
              </w:rPr>
              <w:t>出生年月</w:t>
            </w:r>
          </w:p>
        </w:tc>
        <w:tc>
          <w:tcPr>
            <w:tcW w:w="709" w:type="dxa"/>
            <w:gridSpan w:val="4"/>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职称</w:t>
            </w:r>
          </w:p>
        </w:tc>
        <w:tc>
          <w:tcPr>
            <w:tcW w:w="1275" w:type="dxa"/>
            <w:gridSpan w:val="4"/>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工作单位</w:t>
            </w:r>
          </w:p>
        </w:tc>
        <w:tc>
          <w:tcPr>
            <w:tcW w:w="1276" w:type="dxa"/>
            <w:gridSpan w:val="5"/>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分工</w:t>
            </w:r>
          </w:p>
        </w:tc>
        <w:tc>
          <w:tcPr>
            <w:tcW w:w="1337" w:type="dxa"/>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460" w:lineRule="exact"/>
              <w:jc w:val="center"/>
              <w:textAlignment w:val="baseline"/>
              <w:rPr>
                <w:rFonts w:hint="eastAsia" w:ascii="仿宋_GB2312" w:eastAsia="仿宋_GB2312"/>
                <w:szCs w:val="21"/>
              </w:rPr>
            </w:pPr>
          </w:p>
        </w:tc>
        <w:tc>
          <w:tcPr>
            <w:tcW w:w="1381" w:type="dxa"/>
            <w:vMerge w:val="continue"/>
            <w:vAlign w:val="center"/>
          </w:tcPr>
          <w:p>
            <w:pPr>
              <w:snapToGrid w:val="0"/>
              <w:spacing w:line="460" w:lineRule="exact"/>
              <w:jc w:val="center"/>
              <w:textAlignment w:val="baseline"/>
              <w:rPr>
                <w:rFonts w:hint="eastAsia" w:ascii="仿宋_GB2312" w:eastAsia="仿宋_GB2312"/>
                <w:szCs w:val="21"/>
              </w:rPr>
            </w:pPr>
          </w:p>
        </w:tc>
        <w:tc>
          <w:tcPr>
            <w:tcW w:w="887" w:type="dxa"/>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张夜莺</w:t>
            </w:r>
          </w:p>
        </w:tc>
        <w:tc>
          <w:tcPr>
            <w:tcW w:w="709" w:type="dxa"/>
            <w:gridSpan w:val="3"/>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女</w:t>
            </w:r>
          </w:p>
        </w:tc>
        <w:tc>
          <w:tcPr>
            <w:tcW w:w="1134" w:type="dxa"/>
            <w:gridSpan w:val="3"/>
            <w:vAlign w:val="center"/>
          </w:tcPr>
          <w:p>
            <w:pPr>
              <w:snapToGrid w:val="0"/>
              <w:spacing w:line="460" w:lineRule="exact"/>
              <w:jc w:val="center"/>
              <w:textAlignment w:val="baseline"/>
              <w:rPr>
                <w:rFonts w:hint="eastAsia" w:ascii="仿宋_GB2312" w:eastAsia="仿宋_GB2312"/>
                <w:szCs w:val="21"/>
              </w:rPr>
            </w:pPr>
            <w:r>
              <w:rPr>
                <w:rFonts w:hint="eastAsia" w:ascii="仿宋_GB2312" w:hAnsi="宋体" w:eastAsia="仿宋_GB2312"/>
                <w:szCs w:val="21"/>
              </w:rPr>
              <w:t>1962.4</w:t>
            </w:r>
          </w:p>
        </w:tc>
        <w:tc>
          <w:tcPr>
            <w:tcW w:w="709" w:type="dxa"/>
            <w:gridSpan w:val="4"/>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教授</w:t>
            </w:r>
          </w:p>
        </w:tc>
        <w:tc>
          <w:tcPr>
            <w:tcW w:w="1275" w:type="dxa"/>
            <w:gridSpan w:val="4"/>
            <w:vAlign w:val="center"/>
          </w:tcPr>
          <w:p>
            <w:pPr>
              <w:snapToGrid w:val="0"/>
              <w:jc w:val="center"/>
              <w:textAlignment w:val="baseline"/>
              <w:rPr>
                <w:rFonts w:hint="eastAsia" w:ascii="仿宋_GB2312" w:eastAsia="仿宋_GB2312" w:hAnsiTheme="minorEastAsia"/>
                <w:szCs w:val="21"/>
              </w:rPr>
            </w:pPr>
            <w:r>
              <w:rPr>
                <w:rFonts w:hint="eastAsia" w:ascii="仿宋_GB2312" w:eastAsia="仿宋_GB2312" w:hAnsiTheme="minorEastAsia"/>
                <w:szCs w:val="21"/>
              </w:rPr>
              <w:t>浙江工业大学之江学院</w:t>
            </w:r>
          </w:p>
        </w:tc>
        <w:tc>
          <w:tcPr>
            <w:tcW w:w="1276" w:type="dxa"/>
            <w:gridSpan w:val="5"/>
            <w:vAlign w:val="center"/>
          </w:tcPr>
          <w:p>
            <w:pPr>
              <w:snapToGrid w:val="0"/>
              <w:jc w:val="center"/>
              <w:textAlignment w:val="baseline"/>
              <w:rPr>
                <w:rFonts w:hint="eastAsia" w:ascii="仿宋_GB2312" w:eastAsia="仿宋_GB2312"/>
                <w:szCs w:val="21"/>
              </w:rPr>
            </w:pPr>
            <w:r>
              <w:rPr>
                <w:rFonts w:hint="eastAsia" w:ascii="仿宋_GB2312" w:eastAsia="仿宋_GB2312"/>
                <w:szCs w:val="21"/>
              </w:rPr>
              <w:t>课程设计与实施</w:t>
            </w:r>
          </w:p>
        </w:tc>
        <w:tc>
          <w:tcPr>
            <w:tcW w:w="1337" w:type="dxa"/>
            <w:vAlign w:val="center"/>
          </w:tcPr>
          <w:p>
            <w:pPr>
              <w:snapToGrid w:val="0"/>
              <w:spacing w:line="460" w:lineRule="exact"/>
              <w:jc w:val="center"/>
              <w:textAlignment w:val="baseline"/>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6" w:type="dxa"/>
            <w:vMerge w:val="continue"/>
            <w:vAlign w:val="center"/>
          </w:tcPr>
          <w:p>
            <w:pPr>
              <w:snapToGrid w:val="0"/>
              <w:spacing w:line="460" w:lineRule="exact"/>
              <w:jc w:val="center"/>
              <w:textAlignment w:val="baseline"/>
              <w:rPr>
                <w:rFonts w:hint="eastAsia" w:ascii="仿宋_GB2312" w:eastAsia="仿宋_GB2312"/>
                <w:szCs w:val="21"/>
              </w:rPr>
            </w:pPr>
          </w:p>
        </w:tc>
        <w:tc>
          <w:tcPr>
            <w:tcW w:w="1381" w:type="dxa"/>
            <w:vMerge w:val="continue"/>
            <w:vAlign w:val="center"/>
          </w:tcPr>
          <w:p>
            <w:pPr>
              <w:snapToGrid w:val="0"/>
              <w:spacing w:line="460" w:lineRule="exact"/>
              <w:jc w:val="center"/>
              <w:textAlignment w:val="baseline"/>
              <w:rPr>
                <w:rFonts w:hint="eastAsia" w:ascii="仿宋_GB2312" w:eastAsia="仿宋_GB2312"/>
                <w:szCs w:val="21"/>
              </w:rPr>
            </w:pPr>
          </w:p>
        </w:tc>
        <w:tc>
          <w:tcPr>
            <w:tcW w:w="887" w:type="dxa"/>
          </w:tcPr>
          <w:p>
            <w:pPr>
              <w:spacing w:line="283" w:lineRule="exact"/>
              <w:jc w:val="left"/>
              <w:rPr>
                <w:rFonts w:hint="eastAsia" w:ascii="仿宋_GB2312" w:hAnsi="宋体" w:eastAsia="仿宋_GB2312"/>
                <w:bCs/>
                <w:color w:val="000000"/>
                <w:szCs w:val="21"/>
              </w:rPr>
            </w:pPr>
            <w:r>
              <w:rPr>
                <w:rFonts w:hint="eastAsia" w:ascii="仿宋_GB2312" w:hAnsi="宋体" w:eastAsia="仿宋_GB2312"/>
                <w:bCs/>
                <w:color w:val="000000"/>
                <w:szCs w:val="21"/>
              </w:rPr>
              <w:t>夏颖</w:t>
            </w:r>
            <w:r>
              <w:rPr>
                <w:rFonts w:hint="eastAsia" w:ascii="仿宋_GB2312" w:hAnsi="宋体"/>
                <w:bCs/>
                <w:color w:val="000000"/>
                <w:szCs w:val="21"/>
              </w:rPr>
              <w:t>翀</w:t>
            </w:r>
          </w:p>
        </w:tc>
        <w:tc>
          <w:tcPr>
            <w:tcW w:w="709" w:type="dxa"/>
            <w:gridSpan w:val="3"/>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男</w:t>
            </w:r>
          </w:p>
        </w:tc>
        <w:tc>
          <w:tcPr>
            <w:tcW w:w="1134" w:type="dxa"/>
            <w:gridSpan w:val="3"/>
            <w:vAlign w:val="center"/>
          </w:tcPr>
          <w:p>
            <w:pPr>
              <w:snapToGrid w:val="0"/>
              <w:spacing w:line="460" w:lineRule="exact"/>
              <w:jc w:val="center"/>
              <w:textAlignment w:val="baseline"/>
              <w:rPr>
                <w:rFonts w:hint="eastAsia" w:ascii="仿宋_GB2312" w:eastAsia="仿宋_GB2312"/>
                <w:szCs w:val="21"/>
              </w:rPr>
            </w:pPr>
            <w:r>
              <w:rPr>
                <w:rFonts w:hint="eastAsia" w:ascii="仿宋_GB2312" w:hAnsi="宋体" w:eastAsia="仿宋_GB2312"/>
                <w:bCs/>
                <w:color w:val="000000"/>
                <w:szCs w:val="21"/>
              </w:rPr>
              <w:t>1974.10</w:t>
            </w:r>
          </w:p>
        </w:tc>
        <w:tc>
          <w:tcPr>
            <w:tcW w:w="709" w:type="dxa"/>
            <w:gridSpan w:val="4"/>
            <w:vAlign w:val="center"/>
          </w:tcPr>
          <w:p>
            <w:pPr>
              <w:snapToGrid w:val="0"/>
              <w:jc w:val="center"/>
              <w:textAlignment w:val="baseline"/>
              <w:rPr>
                <w:rFonts w:hint="eastAsia" w:ascii="仿宋_GB2312" w:eastAsia="仿宋_GB2312"/>
                <w:szCs w:val="21"/>
              </w:rPr>
            </w:pPr>
            <w:r>
              <w:rPr>
                <w:rFonts w:hint="eastAsia" w:ascii="仿宋_GB2312" w:hAnsi="宋体" w:eastAsia="仿宋_GB2312"/>
                <w:bCs/>
                <w:color w:val="000000"/>
                <w:szCs w:val="21"/>
              </w:rPr>
              <w:t>副教授</w:t>
            </w:r>
          </w:p>
        </w:tc>
        <w:tc>
          <w:tcPr>
            <w:tcW w:w="1275" w:type="dxa"/>
            <w:gridSpan w:val="4"/>
            <w:vAlign w:val="center"/>
          </w:tcPr>
          <w:p>
            <w:pPr>
              <w:snapToGrid w:val="0"/>
              <w:jc w:val="center"/>
              <w:textAlignment w:val="baseline"/>
              <w:rPr>
                <w:rFonts w:hint="eastAsia" w:ascii="仿宋_GB2312" w:eastAsia="仿宋_GB2312"/>
                <w:szCs w:val="21"/>
              </w:rPr>
            </w:pPr>
            <w:r>
              <w:rPr>
                <w:rFonts w:hint="eastAsia" w:ascii="仿宋_GB2312" w:eastAsia="仿宋_GB2312" w:hAnsiTheme="minorEastAsia"/>
                <w:szCs w:val="21"/>
              </w:rPr>
              <w:t>浙江工业大学之江学院</w:t>
            </w:r>
          </w:p>
        </w:tc>
        <w:tc>
          <w:tcPr>
            <w:tcW w:w="1276" w:type="dxa"/>
            <w:gridSpan w:val="5"/>
            <w:vAlign w:val="center"/>
          </w:tcPr>
          <w:p>
            <w:pPr>
              <w:snapToGrid w:val="0"/>
              <w:jc w:val="center"/>
              <w:textAlignment w:val="baseline"/>
              <w:rPr>
                <w:rFonts w:hint="eastAsia" w:ascii="仿宋_GB2312" w:eastAsia="仿宋_GB2312"/>
                <w:szCs w:val="21"/>
              </w:rPr>
            </w:pPr>
            <w:r>
              <w:rPr>
                <w:rFonts w:hint="eastAsia" w:ascii="仿宋_GB2312" w:eastAsia="仿宋_GB2312"/>
                <w:szCs w:val="21"/>
              </w:rPr>
              <w:t>过程评价与指导</w:t>
            </w:r>
          </w:p>
        </w:tc>
        <w:tc>
          <w:tcPr>
            <w:tcW w:w="1337" w:type="dxa"/>
            <w:vAlign w:val="center"/>
          </w:tcPr>
          <w:p>
            <w:pPr>
              <w:snapToGrid w:val="0"/>
              <w:spacing w:line="460" w:lineRule="exact"/>
              <w:jc w:val="center"/>
              <w:textAlignment w:val="baseline"/>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646" w:type="dxa"/>
            <w:vMerge w:val="continue"/>
            <w:vAlign w:val="center"/>
          </w:tcPr>
          <w:p>
            <w:pPr>
              <w:snapToGrid w:val="0"/>
              <w:spacing w:line="460" w:lineRule="exact"/>
              <w:jc w:val="center"/>
              <w:textAlignment w:val="baseline"/>
              <w:rPr>
                <w:rFonts w:hint="eastAsia" w:ascii="仿宋_GB2312" w:eastAsia="仿宋_GB2312"/>
                <w:szCs w:val="21"/>
              </w:rPr>
            </w:pPr>
          </w:p>
        </w:tc>
        <w:tc>
          <w:tcPr>
            <w:tcW w:w="1381" w:type="dxa"/>
            <w:vMerge w:val="continue"/>
            <w:vAlign w:val="center"/>
          </w:tcPr>
          <w:p>
            <w:pPr>
              <w:snapToGrid w:val="0"/>
              <w:spacing w:line="460" w:lineRule="exact"/>
              <w:jc w:val="center"/>
              <w:textAlignment w:val="baseline"/>
              <w:rPr>
                <w:rFonts w:hint="eastAsia" w:ascii="仿宋_GB2312" w:eastAsia="仿宋_GB2312"/>
                <w:szCs w:val="21"/>
              </w:rPr>
            </w:pPr>
          </w:p>
        </w:tc>
        <w:tc>
          <w:tcPr>
            <w:tcW w:w="887" w:type="dxa"/>
          </w:tcPr>
          <w:p>
            <w:pPr>
              <w:spacing w:line="283" w:lineRule="exact"/>
              <w:ind w:firstLine="105" w:firstLineChars="50"/>
              <w:rPr>
                <w:rFonts w:hint="eastAsia" w:ascii="仿宋_GB2312" w:hAnsi="宋体" w:eastAsia="仿宋_GB2312"/>
                <w:color w:val="000000"/>
                <w:szCs w:val="21"/>
              </w:rPr>
            </w:pPr>
            <w:r>
              <w:rPr>
                <w:rFonts w:hint="eastAsia" w:ascii="仿宋_GB2312" w:hAnsi="宋体" w:eastAsia="仿宋_GB2312"/>
                <w:color w:val="000000"/>
                <w:szCs w:val="21"/>
              </w:rPr>
              <w:t>李想</w:t>
            </w:r>
          </w:p>
        </w:tc>
        <w:tc>
          <w:tcPr>
            <w:tcW w:w="709" w:type="dxa"/>
            <w:gridSpan w:val="3"/>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女</w:t>
            </w:r>
          </w:p>
        </w:tc>
        <w:tc>
          <w:tcPr>
            <w:tcW w:w="1134" w:type="dxa"/>
            <w:gridSpan w:val="3"/>
            <w:vAlign w:val="center"/>
          </w:tcPr>
          <w:p>
            <w:pPr>
              <w:snapToGrid w:val="0"/>
              <w:spacing w:line="460" w:lineRule="exact"/>
              <w:jc w:val="center"/>
              <w:textAlignment w:val="baseline"/>
              <w:rPr>
                <w:rFonts w:hint="eastAsia" w:ascii="仿宋_GB2312" w:hAnsi="宋体" w:eastAsia="仿宋_GB2312"/>
                <w:szCs w:val="21"/>
              </w:rPr>
            </w:pPr>
            <w:r>
              <w:rPr>
                <w:rFonts w:hint="eastAsia" w:ascii="仿宋_GB2312" w:hAnsi="宋体" w:eastAsia="仿宋_GB2312"/>
                <w:szCs w:val="21"/>
              </w:rPr>
              <w:t>1984.10</w:t>
            </w:r>
          </w:p>
        </w:tc>
        <w:tc>
          <w:tcPr>
            <w:tcW w:w="709" w:type="dxa"/>
            <w:gridSpan w:val="4"/>
            <w:vAlign w:val="center"/>
          </w:tcPr>
          <w:p>
            <w:pPr>
              <w:snapToGrid w:val="0"/>
              <w:jc w:val="center"/>
              <w:textAlignment w:val="baseline"/>
              <w:rPr>
                <w:rFonts w:hint="eastAsia" w:ascii="仿宋_GB2312" w:hAnsi="宋体" w:eastAsia="仿宋_GB2312"/>
                <w:color w:val="000000"/>
                <w:szCs w:val="21"/>
              </w:rPr>
            </w:pPr>
            <w:r>
              <w:rPr>
                <w:rFonts w:hint="eastAsia" w:ascii="仿宋_GB2312" w:hAnsi="宋体" w:eastAsia="仿宋_GB2312"/>
                <w:color w:val="000000"/>
                <w:szCs w:val="21"/>
              </w:rPr>
              <w:t>讲师</w:t>
            </w:r>
          </w:p>
        </w:tc>
        <w:tc>
          <w:tcPr>
            <w:tcW w:w="1275" w:type="dxa"/>
            <w:gridSpan w:val="4"/>
            <w:vAlign w:val="center"/>
          </w:tcPr>
          <w:p>
            <w:pPr>
              <w:snapToGrid w:val="0"/>
              <w:jc w:val="center"/>
              <w:textAlignment w:val="baseline"/>
              <w:rPr>
                <w:rFonts w:hint="eastAsia" w:ascii="仿宋_GB2312" w:eastAsia="仿宋_GB2312" w:hAnsiTheme="minorEastAsia"/>
                <w:szCs w:val="21"/>
              </w:rPr>
            </w:pPr>
            <w:r>
              <w:rPr>
                <w:rFonts w:hint="eastAsia" w:ascii="仿宋_GB2312" w:eastAsia="仿宋_GB2312" w:hAnsiTheme="minorEastAsia"/>
                <w:szCs w:val="21"/>
              </w:rPr>
              <w:t>浙江工业大学之江学院</w:t>
            </w:r>
          </w:p>
        </w:tc>
        <w:tc>
          <w:tcPr>
            <w:tcW w:w="1276" w:type="dxa"/>
            <w:gridSpan w:val="5"/>
            <w:vAlign w:val="center"/>
          </w:tcPr>
          <w:p>
            <w:pPr>
              <w:snapToGrid w:val="0"/>
              <w:jc w:val="center"/>
              <w:textAlignment w:val="baseline"/>
              <w:rPr>
                <w:rFonts w:hint="eastAsia" w:ascii="仿宋_GB2312" w:eastAsia="仿宋_GB2312"/>
                <w:szCs w:val="21"/>
              </w:rPr>
            </w:pPr>
            <w:r>
              <w:rPr>
                <w:rFonts w:hint="eastAsia" w:ascii="仿宋_GB2312" w:hAnsi="Times New Roman" w:eastAsia="仿宋_GB2312"/>
                <w:szCs w:val="21"/>
              </w:rPr>
              <w:t>课程设置和团队建设</w:t>
            </w:r>
          </w:p>
        </w:tc>
        <w:tc>
          <w:tcPr>
            <w:tcW w:w="1337" w:type="dxa"/>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46" w:type="dxa"/>
            <w:vMerge w:val="continue"/>
            <w:vAlign w:val="center"/>
          </w:tcPr>
          <w:p>
            <w:pPr>
              <w:snapToGrid w:val="0"/>
              <w:spacing w:line="460" w:lineRule="exact"/>
              <w:jc w:val="center"/>
              <w:textAlignment w:val="baseline"/>
              <w:rPr>
                <w:rFonts w:hint="eastAsia" w:ascii="仿宋_GB2312" w:eastAsia="仿宋_GB2312"/>
                <w:szCs w:val="21"/>
              </w:rPr>
            </w:pPr>
          </w:p>
        </w:tc>
        <w:tc>
          <w:tcPr>
            <w:tcW w:w="1381" w:type="dxa"/>
            <w:vMerge w:val="continue"/>
            <w:vAlign w:val="center"/>
          </w:tcPr>
          <w:p>
            <w:pPr>
              <w:snapToGrid w:val="0"/>
              <w:spacing w:line="460" w:lineRule="exact"/>
              <w:jc w:val="center"/>
              <w:textAlignment w:val="baseline"/>
              <w:rPr>
                <w:rFonts w:hint="eastAsia" w:ascii="仿宋_GB2312" w:eastAsia="仿宋_GB2312"/>
                <w:szCs w:val="21"/>
              </w:rPr>
            </w:pPr>
          </w:p>
        </w:tc>
        <w:tc>
          <w:tcPr>
            <w:tcW w:w="887" w:type="dxa"/>
          </w:tcPr>
          <w:p>
            <w:pPr>
              <w:spacing w:line="283" w:lineRule="exact"/>
              <w:ind w:firstLine="105" w:firstLineChars="50"/>
              <w:rPr>
                <w:rFonts w:hint="eastAsia" w:ascii="仿宋_GB2312" w:hAnsi="宋体" w:eastAsia="仿宋_GB2312"/>
                <w:color w:val="000000"/>
                <w:szCs w:val="21"/>
              </w:rPr>
            </w:pPr>
            <w:r>
              <w:rPr>
                <w:rFonts w:hint="eastAsia" w:ascii="仿宋_GB2312" w:hAnsi="宋体" w:eastAsia="仿宋_GB2312"/>
                <w:color w:val="000000"/>
                <w:szCs w:val="21"/>
              </w:rPr>
              <w:t>宗亮</w:t>
            </w:r>
          </w:p>
        </w:tc>
        <w:tc>
          <w:tcPr>
            <w:tcW w:w="709" w:type="dxa"/>
            <w:gridSpan w:val="3"/>
            <w:vAlign w:val="center"/>
          </w:tcPr>
          <w:p>
            <w:pPr>
              <w:snapToGrid w:val="0"/>
              <w:spacing w:line="460" w:lineRule="exact"/>
              <w:jc w:val="center"/>
              <w:textAlignment w:val="baseline"/>
              <w:rPr>
                <w:rFonts w:hint="eastAsia" w:ascii="仿宋_GB2312" w:eastAsia="仿宋_GB2312"/>
                <w:szCs w:val="21"/>
              </w:rPr>
            </w:pPr>
            <w:r>
              <w:rPr>
                <w:rFonts w:hint="eastAsia" w:ascii="仿宋_GB2312" w:eastAsia="仿宋_GB2312"/>
                <w:szCs w:val="21"/>
              </w:rPr>
              <w:t>男</w:t>
            </w:r>
          </w:p>
        </w:tc>
        <w:tc>
          <w:tcPr>
            <w:tcW w:w="1134" w:type="dxa"/>
            <w:gridSpan w:val="3"/>
            <w:vAlign w:val="center"/>
          </w:tcPr>
          <w:p>
            <w:pPr>
              <w:snapToGrid w:val="0"/>
              <w:spacing w:line="460" w:lineRule="exact"/>
              <w:jc w:val="center"/>
              <w:textAlignment w:val="baseline"/>
              <w:rPr>
                <w:rFonts w:hint="eastAsia" w:ascii="仿宋_GB2312" w:hAnsi="宋体" w:eastAsia="仿宋_GB2312"/>
                <w:szCs w:val="21"/>
              </w:rPr>
            </w:pPr>
            <w:r>
              <w:rPr>
                <w:rFonts w:hint="eastAsia" w:ascii="仿宋_GB2312" w:hAnsi="宋体" w:eastAsia="仿宋_GB2312"/>
                <w:szCs w:val="21"/>
              </w:rPr>
              <w:t>1985.1</w:t>
            </w:r>
          </w:p>
        </w:tc>
        <w:tc>
          <w:tcPr>
            <w:tcW w:w="709" w:type="dxa"/>
            <w:gridSpan w:val="4"/>
            <w:vAlign w:val="center"/>
          </w:tcPr>
          <w:p>
            <w:pPr>
              <w:snapToGrid w:val="0"/>
              <w:jc w:val="center"/>
              <w:textAlignment w:val="baseline"/>
              <w:rPr>
                <w:rFonts w:hint="eastAsia" w:ascii="仿宋_GB2312" w:hAnsi="宋体" w:eastAsia="仿宋_GB2312"/>
                <w:color w:val="000000"/>
                <w:szCs w:val="21"/>
              </w:rPr>
            </w:pPr>
            <w:r>
              <w:rPr>
                <w:rFonts w:hint="eastAsia" w:ascii="仿宋_GB2312" w:hAnsi="宋体" w:eastAsia="仿宋_GB2312"/>
                <w:color w:val="000000"/>
                <w:szCs w:val="21"/>
              </w:rPr>
              <w:t>讲师</w:t>
            </w:r>
          </w:p>
        </w:tc>
        <w:tc>
          <w:tcPr>
            <w:tcW w:w="1275" w:type="dxa"/>
            <w:gridSpan w:val="4"/>
            <w:vAlign w:val="center"/>
          </w:tcPr>
          <w:p>
            <w:pPr>
              <w:snapToGrid w:val="0"/>
              <w:jc w:val="center"/>
              <w:textAlignment w:val="baseline"/>
              <w:rPr>
                <w:rFonts w:hint="eastAsia" w:ascii="仿宋_GB2312" w:eastAsia="仿宋_GB2312" w:hAnsiTheme="minorEastAsia"/>
                <w:szCs w:val="21"/>
              </w:rPr>
            </w:pPr>
            <w:r>
              <w:rPr>
                <w:rFonts w:hint="eastAsia" w:ascii="仿宋_GB2312" w:eastAsia="仿宋_GB2312" w:hAnsiTheme="minorEastAsia"/>
                <w:szCs w:val="21"/>
              </w:rPr>
              <w:t>浙江工业大学之江学院</w:t>
            </w:r>
          </w:p>
        </w:tc>
        <w:tc>
          <w:tcPr>
            <w:tcW w:w="1276" w:type="dxa"/>
            <w:gridSpan w:val="5"/>
            <w:vAlign w:val="center"/>
          </w:tcPr>
          <w:p>
            <w:pPr>
              <w:snapToGrid w:val="0"/>
              <w:jc w:val="center"/>
              <w:textAlignment w:val="baseline"/>
              <w:rPr>
                <w:rFonts w:hint="eastAsia" w:ascii="仿宋_GB2312" w:eastAsia="仿宋_GB2312"/>
                <w:szCs w:val="21"/>
              </w:rPr>
            </w:pPr>
            <w:r>
              <w:rPr>
                <w:rFonts w:hint="eastAsia" w:ascii="仿宋_GB2312" w:eastAsia="仿宋_GB2312"/>
                <w:szCs w:val="21"/>
              </w:rPr>
              <w:t>课程实践</w:t>
            </w:r>
          </w:p>
        </w:tc>
        <w:tc>
          <w:tcPr>
            <w:tcW w:w="1337" w:type="dxa"/>
            <w:vAlign w:val="center"/>
          </w:tcPr>
          <w:p>
            <w:pPr>
              <w:snapToGrid w:val="0"/>
              <w:spacing w:line="460" w:lineRule="exact"/>
              <w:jc w:val="center"/>
              <w:textAlignment w:val="baseline"/>
              <w:rPr>
                <w:rFonts w:hint="eastAsia" w:ascii="仿宋_GB2312" w:eastAsia="仿宋_GB2312"/>
                <w:szCs w:val="21"/>
              </w:rPr>
            </w:pPr>
          </w:p>
        </w:tc>
      </w:tr>
    </w:tbl>
    <w:p>
      <w:pPr>
        <w:snapToGrid w:val="0"/>
        <w:spacing w:line="460" w:lineRule="exact"/>
        <w:textAlignment w:val="baseline"/>
        <w:rPr>
          <w:rFonts w:eastAsia="仿宋_GB2312"/>
          <w:szCs w:val="21"/>
        </w:rPr>
      </w:pPr>
      <w:r>
        <w:rPr>
          <w:rFonts w:hint="eastAsia" w:eastAsia="仿宋_GB2312"/>
          <w:szCs w:val="21"/>
        </w:rPr>
        <w:t>备注：项目组主要成员不超过四人，没有参与人的务必填写</w:t>
      </w:r>
      <w:r>
        <w:rPr>
          <w:rFonts w:eastAsia="仿宋_GB2312"/>
          <w:szCs w:val="21"/>
        </w:rPr>
        <w:t>“</w:t>
      </w:r>
      <w:r>
        <w:rPr>
          <w:rFonts w:hint="eastAsia" w:eastAsia="仿宋_GB2312"/>
          <w:szCs w:val="21"/>
        </w:rPr>
        <w:t>无</w:t>
      </w:r>
      <w:r>
        <w:rPr>
          <w:rFonts w:eastAsia="仿宋_GB2312"/>
          <w:szCs w:val="21"/>
        </w:rPr>
        <w:t>”</w:t>
      </w:r>
      <w:r>
        <w:rPr>
          <w:rFonts w:hint="eastAsia" w:eastAsia="仿宋_GB2312"/>
          <w:szCs w:val="21"/>
        </w:rPr>
        <w:t>。</w:t>
      </w:r>
    </w:p>
    <w:p>
      <w:pPr>
        <w:snapToGrid w:val="0"/>
        <w:spacing w:line="460" w:lineRule="exact"/>
        <w:textAlignment w:val="baseline"/>
        <w:rPr>
          <w:rFonts w:eastAsia="仿宋_GB2312"/>
          <w:szCs w:val="21"/>
        </w:rPr>
      </w:pPr>
      <w:r>
        <w:rPr>
          <w:rFonts w:hint="eastAsia" w:eastAsia="仿宋_GB2312"/>
          <w:sz w:val="28"/>
        </w:rPr>
        <w:t>二、立项依据：</w:t>
      </w:r>
      <w:r>
        <w:rPr>
          <w:rFonts w:hint="eastAsia" w:eastAsia="仿宋_GB2312"/>
        </w:rPr>
        <w:t>（项目的意义、现状分析）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8" w:hRule="atLeast"/>
          <w:jc w:val="center"/>
        </w:trPr>
        <w:tc>
          <w:tcPr>
            <w:tcW w:w="8564" w:type="dxa"/>
            <w:tcBorders>
              <w:top w:val="single" w:color="auto" w:sz="4" w:space="0"/>
              <w:left w:val="single" w:color="000000" w:sz="2" w:space="0"/>
              <w:bottom w:val="single" w:color="000000" w:sz="2" w:space="0"/>
              <w:right w:val="single" w:color="000000" w:sz="2" w:space="0"/>
            </w:tcBorders>
          </w:tcPr>
          <w:p>
            <w:pPr>
              <w:tabs>
                <w:tab w:val="left" w:pos="951"/>
              </w:tabs>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1．项目对促进教学工作，提高教学质量的作用和意义</w:t>
            </w:r>
          </w:p>
          <w:p>
            <w:pPr>
              <w:spacing w:line="360" w:lineRule="auto"/>
              <w:ind w:firstLine="420" w:firstLineChars="200"/>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本课题将OBE教育理念应用于</w:t>
            </w:r>
            <w:r>
              <w:rPr>
                <w:rFonts w:hint="eastAsia" w:asciiTheme="minorEastAsia" w:hAnsiTheme="minorEastAsia" w:eastAsiaTheme="minorEastAsia"/>
                <w:color w:val="000000"/>
                <w:szCs w:val="21"/>
              </w:rPr>
              <w:t>产品品牌开发与推广</w:t>
            </w:r>
            <w:r>
              <w:rPr>
                <w:rFonts w:hint="eastAsia" w:asciiTheme="minorEastAsia" w:hAnsiTheme="minorEastAsia" w:eastAsiaTheme="minorEastAsia"/>
                <w:szCs w:val="21"/>
                <w:shd w:val="clear" w:color="auto" w:fill="FFFFFF"/>
              </w:rPr>
              <w:t>、公共产品设计、文创产品设计、交互设计四门产品设计专业核心课程群中。这四门课程是产品设计专业大三大四阶段的综合性课程，均要求学生综合所学知识，对某一方面的产品进行深入地设计开发，设计方法和流程基本相同，本课题将这四门核心课程作为组团，进行教学上的研究与改革。</w:t>
            </w:r>
          </w:p>
          <w:p>
            <w:pPr>
              <w:spacing w:line="360" w:lineRule="auto"/>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(1) 完善核心课程培养模式，促进教师教学水平。</w:t>
            </w:r>
          </w:p>
          <w:p>
            <w:pPr>
              <w:spacing w:line="360" w:lineRule="auto"/>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产品设计核心课程以往的教学模式相对封闭，教学内容主要以教师自身的学术背景和专业兴趣为中心，如擅长P</w:t>
            </w:r>
            <w:r>
              <w:rPr>
                <w:rFonts w:asciiTheme="minorEastAsia" w:hAnsiTheme="minorEastAsia" w:eastAsiaTheme="minorEastAsia"/>
                <w:bCs/>
                <w:color w:val="000000"/>
                <w:szCs w:val="21"/>
              </w:rPr>
              <w:t>S</w:t>
            </w:r>
            <w:r>
              <w:rPr>
                <w:rFonts w:hint="eastAsia" w:asciiTheme="minorEastAsia" w:hAnsiTheme="minorEastAsia" w:eastAsiaTheme="minorEastAsia"/>
                <w:bCs/>
                <w:color w:val="000000"/>
                <w:szCs w:val="21"/>
              </w:rPr>
              <w:t>和</w:t>
            </w:r>
            <w:r>
              <w:rPr>
                <w:rFonts w:asciiTheme="minorEastAsia" w:hAnsiTheme="minorEastAsia" w:eastAsiaTheme="minorEastAsia"/>
                <w:bCs/>
                <w:color w:val="000000"/>
                <w:szCs w:val="21"/>
              </w:rPr>
              <w:t>AI</w:t>
            </w:r>
            <w:r>
              <w:rPr>
                <w:rFonts w:hint="eastAsia" w:asciiTheme="minorEastAsia" w:hAnsiTheme="minorEastAsia" w:eastAsiaTheme="minorEastAsia"/>
                <w:bCs/>
                <w:color w:val="000000"/>
                <w:szCs w:val="21"/>
              </w:rPr>
              <w:t>软件的教师更多倾向于以平面效果展现产品外观，而精于手绘的教师则希望通过马克笔等工具绘制产品效果图，并没有从学生需求和社会需求角度来全面思考课程内容的设置。“成果导向”教学模式以学生为中心，不再强调老师“教什么”和“怎么教”，而是注重学生学习后获得的实质性成果，关注如何帮助学生取得这些成果。本课题试图突破以往的封闭式的教学模式，从以学科出发设计课程，转变为以最终教学效果出发建立与之配套的教学方案，从而促使一线教师转变教学观念，走出舒适区，不断自我学习，更新教学内容。</w:t>
            </w:r>
          </w:p>
          <w:p>
            <w:pPr>
              <w:spacing w:line="360" w:lineRule="auto"/>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 xml:space="preserve"> (2) 完善核心课程评价模式，提高学生获得感。</w:t>
            </w:r>
          </w:p>
          <w:p>
            <w:pPr>
              <w:spacing w:line="360" w:lineRule="auto"/>
              <w:ind w:firstLine="42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课程目前的评价模式基本上是教师决定学生成绩，教学成果检验渠道过于狭窄。作为艺术设计类专业，产品设计的教学评价标准不像理工科类专业一样清晰，或多或少带有教师个人的主观倾向，缺少第三方评价。长此以往会导致课程结束后教师对教学过程中产生的问题不够重视，忽略了总结改进的重要环节，上届学生出现的问题在下一届学生中还有可能出现，很难保证学生确实获得了相关知识，与O</w:t>
            </w:r>
            <w:r>
              <w:rPr>
                <w:rFonts w:asciiTheme="minorEastAsia" w:hAnsiTheme="minorEastAsia" w:eastAsiaTheme="minorEastAsia"/>
                <w:bCs/>
                <w:color w:val="000000"/>
                <w:szCs w:val="21"/>
              </w:rPr>
              <w:t>BE</w:t>
            </w:r>
            <w:r>
              <w:rPr>
                <w:rFonts w:hint="eastAsia" w:asciiTheme="minorEastAsia" w:hAnsiTheme="minorEastAsia" w:eastAsiaTheme="minorEastAsia"/>
                <w:bCs/>
                <w:color w:val="000000"/>
                <w:szCs w:val="21"/>
              </w:rPr>
              <w:t>教育理念所倡导的产出导向有一定的差距。因此本课题需要改变核心课程的评价模式，采用多方评价和量化教学成果。</w:t>
            </w:r>
          </w:p>
          <w:p>
            <w:pPr>
              <w:spacing w:line="360" w:lineRule="auto"/>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(3)以教学改革促进科研进步，提高学生实践能力。</w:t>
            </w:r>
          </w:p>
          <w:p>
            <w:pPr>
              <w:tabs>
                <w:tab w:val="left" w:pos="951"/>
              </w:tabs>
              <w:spacing w:line="360" w:lineRule="auto"/>
              <w:ind w:firstLine="42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对学生来说，科研能力是成为高端研究型人才的必备素质，也是教学成果最好的体现。产品设计专业注重培养商业设计人才，通过设计为企业和客户解决问题。从学生长远的职业生涯来看，没有一定的科研能力作为支撑，很难往设计总监或设计公司合伙人等更高的职业发展方向上行进。“成果导向”教学理念强调学习成果的确定性，能帮助学生切实提高科研水平和实践能力，将教学和科研两者紧密结合，同步发展。</w:t>
            </w:r>
          </w:p>
          <w:p>
            <w:pPr>
              <w:tabs>
                <w:tab w:val="left" w:pos="951"/>
              </w:tabs>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2．国内外相关研究现状分析</w:t>
            </w:r>
          </w:p>
          <w:p>
            <w:pPr>
              <w:spacing w:line="360" w:lineRule="auto"/>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OBE教育理念是“Outcomes-based Education”的缩写，又称成果导向教育。该理念最早由美国学者</w:t>
            </w:r>
            <w:r>
              <w:rPr>
                <w:rFonts w:asciiTheme="minorEastAsia" w:hAnsiTheme="minorEastAsia" w:eastAsiaTheme="minorEastAsia"/>
                <w:bCs/>
                <w:color w:val="000000"/>
                <w:szCs w:val="21"/>
              </w:rPr>
              <w:t>威廉·斯</w:t>
            </w:r>
            <w:r>
              <w:rPr>
                <w:rFonts w:hint="eastAsia" w:asciiTheme="minorEastAsia" w:hAnsiTheme="minorEastAsia" w:eastAsiaTheme="minorEastAsia"/>
                <w:bCs/>
                <w:color w:val="000000"/>
                <w:szCs w:val="21"/>
              </w:rPr>
              <w:t>派</w:t>
            </w:r>
            <w:r>
              <w:rPr>
                <w:rFonts w:asciiTheme="minorEastAsia" w:hAnsiTheme="minorEastAsia" w:eastAsiaTheme="minorEastAsia"/>
                <w:bCs/>
                <w:color w:val="000000"/>
                <w:szCs w:val="21"/>
              </w:rPr>
              <w:t>蒂</w:t>
            </w:r>
            <w:r>
              <w:rPr>
                <w:rFonts w:hint="eastAsia" w:asciiTheme="minorEastAsia" w:hAnsiTheme="minorEastAsia" w:eastAsiaTheme="minorEastAsia"/>
                <w:bCs/>
                <w:color w:val="000000"/>
                <w:szCs w:val="21"/>
              </w:rPr>
              <w:t>于1981年提出，</w:t>
            </w:r>
            <w:r>
              <w:rPr>
                <w:rFonts w:asciiTheme="minorEastAsia" w:hAnsiTheme="minorEastAsia" w:eastAsiaTheme="minorEastAsia"/>
                <w:bCs/>
                <w:color w:val="000000"/>
                <w:szCs w:val="21"/>
              </w:rPr>
              <w:t>兴起于上世纪90年代</w:t>
            </w:r>
            <w:r>
              <w:rPr>
                <w:rFonts w:hint="eastAsia" w:asciiTheme="minorEastAsia" w:hAnsiTheme="minorEastAsia" w:eastAsiaTheme="minorEastAsia"/>
                <w:bCs/>
                <w:color w:val="000000"/>
                <w:szCs w:val="21"/>
              </w:rPr>
              <w:t>，目前成为欧美各国主流的教育理念。成果导向教育和传统教育模式最大的区别在于，后者重视教师的教学过程，而前者重视学生通过学习获得的结果。经过几十年的发展，成果导向教育理念在世界各国的教育界取得了显著成果，许多学科也因为导入了OBE教育理念而获得了快速发展。</w:t>
            </w:r>
          </w:p>
          <w:p>
            <w:pPr>
              <w:spacing w:line="360" w:lineRule="auto"/>
              <w:rPr>
                <w:rFonts w:asciiTheme="minorEastAsia" w:hAnsiTheme="minorEastAsia" w:eastAsiaTheme="minorEastAsia"/>
                <w:color w:val="000000"/>
                <w:szCs w:val="21"/>
              </w:rPr>
            </w:pPr>
            <w:r>
              <w:rPr>
                <w:rFonts w:hint="eastAsia" w:asciiTheme="minorEastAsia" w:hAnsiTheme="minorEastAsia" w:eastAsiaTheme="minorEastAsia"/>
                <w:bCs/>
                <w:color w:val="000000"/>
                <w:szCs w:val="21"/>
              </w:rPr>
              <w:t xml:space="preserve">    </w:t>
            </w:r>
            <w:r>
              <w:rPr>
                <w:rFonts w:hint="eastAsia" w:asciiTheme="minorEastAsia" w:hAnsiTheme="minorEastAsia" w:eastAsiaTheme="minorEastAsia"/>
                <w:color w:val="000000"/>
                <w:szCs w:val="21"/>
              </w:rPr>
              <w:t>国外</w:t>
            </w:r>
            <w:r>
              <w:rPr>
                <w:rFonts w:hint="eastAsia" w:asciiTheme="minorEastAsia" w:hAnsiTheme="minorEastAsia" w:eastAsiaTheme="minorEastAsia"/>
                <w:bCs/>
                <w:color w:val="000000"/>
                <w:szCs w:val="21"/>
              </w:rPr>
              <w:t>应用OBE教育理念的成功案例有很多，比较有代表性的是美国的工程教育改革。工程技术对国家经济发展，自然环境改造和人类社会进步的作用越来越显著，全球正在进行的科技发展、城市建设、环境保护、人口增长等方面所碰到的复杂问题，对工程师提出了更高的要求。因此，</w:t>
            </w:r>
            <w:r>
              <w:rPr>
                <w:rFonts w:hint="eastAsia" w:asciiTheme="minorEastAsia" w:hAnsiTheme="minorEastAsia" w:eastAsiaTheme="minorEastAsia"/>
                <w:color w:val="000000"/>
                <w:szCs w:val="21"/>
              </w:rPr>
              <w:t>国际著名本科工程专业认证组织《华盛顿协议》</w:t>
            </w:r>
            <w:r>
              <w:rPr>
                <w:rFonts w:hint="eastAsia" w:asciiTheme="minorEastAsia" w:hAnsiTheme="minorEastAsia" w:eastAsiaTheme="minorEastAsia"/>
                <w:bCs/>
                <w:color w:val="000000"/>
                <w:szCs w:val="21"/>
              </w:rPr>
              <w:t>，</w:t>
            </w:r>
            <w:r>
              <w:rPr>
                <w:rFonts w:hint="eastAsia" w:asciiTheme="minorEastAsia" w:hAnsiTheme="minorEastAsia" w:eastAsiaTheme="minorEastAsia"/>
                <w:szCs w:val="21"/>
                <w:shd w:val="clear" w:color="auto" w:fill="FFFFFF"/>
              </w:rPr>
              <w:t xml:space="preserve">全面接受了OBE理念并将其融入到工程教育专业认证中。 </w:t>
            </w:r>
          </w:p>
          <w:p>
            <w:pPr>
              <w:spacing w:line="360" w:lineRule="auto"/>
              <w:rPr>
                <w:rFonts w:asciiTheme="minorEastAsia" w:hAnsiTheme="minorEastAsia" w:eastAsiaTheme="minorEastAsia"/>
                <w:bCs/>
                <w:color w:val="0000FF"/>
                <w:szCs w:val="21"/>
              </w:rPr>
            </w:pPr>
            <w:r>
              <w:rPr>
                <w:rFonts w:hint="eastAsia" w:asciiTheme="minorEastAsia" w:hAnsiTheme="minorEastAsia" w:eastAsiaTheme="minorEastAsia"/>
                <w:color w:val="000000"/>
                <w:szCs w:val="21"/>
              </w:rPr>
              <w:t xml:space="preserve">    国内基于</w:t>
            </w:r>
            <w:r>
              <w:rPr>
                <w:rFonts w:hint="eastAsia" w:asciiTheme="minorEastAsia" w:hAnsiTheme="minorEastAsia" w:eastAsiaTheme="minorEastAsia"/>
                <w:bCs/>
                <w:color w:val="000000"/>
                <w:szCs w:val="21"/>
              </w:rPr>
              <w:t>OBE教育理念的教学改革和实践起步较晚，2015年之后才开始被广泛关注，且</w:t>
            </w:r>
            <w:r>
              <w:rPr>
                <w:rFonts w:hint="eastAsia" w:asciiTheme="minorEastAsia" w:hAnsiTheme="minorEastAsia" w:eastAsiaTheme="minorEastAsia"/>
                <w:szCs w:val="21"/>
                <w:shd w:val="clear" w:color="auto" w:fill="FFFFFF"/>
              </w:rPr>
              <w:t>大多集中在工程教育、机械、建筑、计算机等工科领域，文科和艺术类专业应用较少。</w:t>
            </w:r>
            <w:r>
              <w:rPr>
                <w:rFonts w:hint="eastAsia" w:asciiTheme="minorEastAsia" w:hAnsiTheme="minorEastAsia" w:eastAsiaTheme="minorEastAsia"/>
                <w:color w:val="000000"/>
                <w:szCs w:val="21"/>
              </w:rPr>
              <w:t>国内</w:t>
            </w:r>
            <w:r>
              <w:rPr>
                <w:rFonts w:hint="eastAsia" w:asciiTheme="minorEastAsia" w:hAnsiTheme="minorEastAsia" w:eastAsiaTheme="minorEastAsia"/>
                <w:bCs/>
                <w:color w:val="000000"/>
                <w:szCs w:val="21"/>
              </w:rPr>
              <w:t>OBE教育比较有代表性的是</w:t>
            </w:r>
            <w:r>
              <w:rPr>
                <w:rFonts w:hint="eastAsia" w:asciiTheme="minorEastAsia" w:hAnsiTheme="minorEastAsia" w:eastAsiaTheme="minorEastAsia"/>
                <w:szCs w:val="21"/>
                <w:shd w:val="clear" w:color="auto" w:fill="FFFFFF"/>
              </w:rPr>
              <w:t>华中科技大学机械学院工业设计系，该系将OBE模式融入工业设计专业的教学与实践中，对课程体系、学分学时、教学大纲等进行了全面改革，成果丰硕，学生在国内外学科竞赛中取得了多项国家和国际级奖项。</w:t>
            </w:r>
          </w:p>
          <w:p>
            <w:pPr>
              <w:tabs>
                <w:tab w:val="left" w:pos="951"/>
              </w:tabs>
              <w:spacing w:line="360" w:lineRule="auto"/>
              <w:ind w:firstLine="420"/>
              <w:rPr>
                <w:rFonts w:asciiTheme="minorEastAsia" w:hAnsiTheme="minorEastAsia" w:eastAsiaTheme="minorEastAsia"/>
                <w:bCs/>
                <w:color w:val="000000"/>
                <w:szCs w:val="21"/>
              </w:rPr>
            </w:pPr>
          </w:p>
          <w:p>
            <w:pPr>
              <w:spacing w:beforeLines="50"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3．</w:t>
            </w:r>
            <w:r>
              <w:rPr>
                <w:rFonts w:hint="eastAsia" w:asciiTheme="minorEastAsia" w:hAnsiTheme="minorEastAsia" w:eastAsiaTheme="minorEastAsia"/>
                <w:szCs w:val="21"/>
                <w:shd w:val="clear" w:color="auto" w:fill="FFFFFF"/>
              </w:rPr>
              <w:t>我院</w:t>
            </w:r>
            <w:r>
              <w:rPr>
                <w:rFonts w:hint="eastAsia" w:asciiTheme="minorEastAsia" w:hAnsiTheme="minorEastAsia" w:eastAsiaTheme="minorEastAsia"/>
                <w:bCs/>
                <w:color w:val="000000"/>
                <w:szCs w:val="21"/>
              </w:rPr>
              <w:t>产品设计专业核心课程的教学现状分析</w:t>
            </w:r>
          </w:p>
          <w:p>
            <w:pPr>
              <w:spacing w:line="360" w:lineRule="auto"/>
              <w:ind w:firstLine="420" w:firstLineChars="200"/>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 xml:space="preserve">我院产品设计专业属于艺术设计大类，主要培养文创产品设计和纺织产品设计方面的人才。产品设计专业目前的教学现状总结如下： </w:t>
            </w:r>
          </w:p>
          <w:p>
            <w:pPr>
              <w:spacing w:line="360" w:lineRule="auto"/>
              <w:ind w:firstLine="211" w:firstLineChars="100"/>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（1）专业方向体现多学科交叉特点</w:t>
            </w:r>
          </w:p>
          <w:p>
            <w:pPr>
              <w:spacing w:line="360" w:lineRule="auto"/>
              <w:ind w:firstLine="420" w:firstLineChars="200"/>
              <w:rPr>
                <w:rFonts w:asciiTheme="minorEastAsia" w:hAnsiTheme="minorEastAsia" w:eastAsiaTheme="minorEastAsia"/>
                <w:szCs w:val="21"/>
                <w:shd w:val="clear" w:color="auto" w:fill="FFFFFF"/>
              </w:rPr>
            </w:pPr>
            <w:r>
              <w:rPr>
                <w:rFonts w:hint="eastAsia" w:asciiTheme="minorEastAsia" w:hAnsiTheme="minorEastAsia" w:eastAsiaTheme="minorEastAsia"/>
                <w:color w:val="000000"/>
                <w:szCs w:val="21"/>
              </w:rPr>
              <w:t>产品设计专业核心课程的教学内容注重吸收交叉学科的优势，在培养方案中除了产品设计初步</w:t>
            </w:r>
            <w:r>
              <w:rPr>
                <w:rFonts w:hint="eastAsia" w:asciiTheme="minorEastAsia" w:hAnsiTheme="minorEastAsia" w:eastAsiaTheme="minorEastAsia"/>
                <w:szCs w:val="21"/>
                <w:shd w:val="clear" w:color="auto" w:fill="FFFFFF"/>
              </w:rPr>
              <w:t>、公共产品设计、文创产品设计、</w:t>
            </w:r>
            <w:r>
              <w:rPr>
                <w:rFonts w:hint="eastAsia" w:asciiTheme="minorEastAsia" w:hAnsiTheme="minorEastAsia" w:eastAsiaTheme="minorEastAsia"/>
                <w:color w:val="000000"/>
                <w:szCs w:val="21"/>
              </w:rPr>
              <w:t>产品品牌开发与推广、</w:t>
            </w:r>
            <w:r>
              <w:rPr>
                <w:rFonts w:hint="eastAsia" w:asciiTheme="minorEastAsia" w:hAnsiTheme="minorEastAsia" w:eastAsiaTheme="minorEastAsia"/>
                <w:szCs w:val="21"/>
                <w:shd w:val="clear" w:color="auto" w:fill="FFFFFF"/>
              </w:rPr>
              <w:t>交互设计等核心专业课外，还</w:t>
            </w:r>
            <w:r>
              <w:rPr>
                <w:rFonts w:hint="eastAsia" w:asciiTheme="minorEastAsia" w:hAnsiTheme="minorEastAsia" w:eastAsiaTheme="minorEastAsia"/>
                <w:color w:val="000000"/>
                <w:szCs w:val="21"/>
              </w:rPr>
              <w:t>根据需求设置了摄影</w:t>
            </w:r>
            <w:r>
              <w:rPr>
                <w:rFonts w:hint="eastAsia" w:asciiTheme="minorEastAsia" w:hAnsiTheme="minorEastAsia" w:eastAsiaTheme="minorEastAsia"/>
                <w:szCs w:val="21"/>
                <w:shd w:val="clear" w:color="auto" w:fill="FFFFFF"/>
              </w:rPr>
              <w:t xml:space="preserve">、插画、版式设计、民族艺术研究与考察、中外经典纹样研习等平面设计的部分课程。因为这些课程可以培养学生的造型能力、画面表达能力以及对素材的提取和二次设计能力，是艺术设计专业的基础。打好艺术基础有助于学生从更高的层面理解和把握产品设计的专业内涵，在产品设计过程中加强思考的广度和深度。 </w:t>
            </w:r>
            <w:r>
              <w:rPr>
                <w:rFonts w:asciiTheme="minorEastAsia" w:hAnsiTheme="minorEastAsia" w:eastAsiaTheme="minorEastAsia"/>
                <w:szCs w:val="21"/>
                <w:shd w:val="clear" w:color="auto" w:fill="FFFFFF"/>
              </w:rPr>
              <w:t xml:space="preserve"> </w:t>
            </w:r>
          </w:p>
          <w:p>
            <w:pPr>
              <w:spacing w:line="360" w:lineRule="auto"/>
              <w:ind w:firstLine="211" w:firstLineChars="100"/>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（2）教学过程重视艺术创作，技术表达有待加强</w:t>
            </w:r>
          </w:p>
          <w:p>
            <w:pPr>
              <w:spacing w:line="360" w:lineRule="auto"/>
              <w:ind w:firstLine="42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部分核心课程的教学过程中，教师普遍重视艺术创作的过程，这也是产品设计流程中最为重要的一环，直接决定了设计的最终效果。重视创作过程无可厚非，不过存在的问题是教师普遍忽略了最后的技术表达环节，有些课程的艺术创作占用了四分之三以上的课程时间，导致最后学生没有深入地用计算机建模或实物模型的形式将设计成果完整表达出来。这不利于学生</w:t>
            </w:r>
          </w:p>
          <w:p>
            <w:pPr>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经历一个完整的设计流程，也忽视了学生个体间的学习能力和兴趣的差异。</w:t>
            </w:r>
          </w:p>
          <w:p>
            <w:pPr>
              <w:spacing w:line="360" w:lineRule="auto"/>
              <w:ind w:firstLine="211" w:firstLineChars="100"/>
              <w:rPr>
                <w:rFonts w:asciiTheme="minorEastAsia" w:hAnsiTheme="minorEastAsia" w:eastAsiaTheme="minorEastAsia"/>
                <w:color w:val="000000"/>
                <w:szCs w:val="21"/>
              </w:rPr>
            </w:pPr>
            <w:r>
              <w:rPr>
                <w:rFonts w:hint="eastAsia" w:asciiTheme="minorEastAsia" w:hAnsiTheme="minorEastAsia" w:eastAsiaTheme="minorEastAsia"/>
                <w:b/>
                <w:bCs/>
                <w:color w:val="000000"/>
                <w:szCs w:val="21"/>
              </w:rPr>
              <w:t>（</w:t>
            </w:r>
            <w:r>
              <w:rPr>
                <w:rFonts w:asciiTheme="minorEastAsia" w:hAnsiTheme="minorEastAsia" w:eastAsiaTheme="minorEastAsia"/>
                <w:b/>
                <w:bCs/>
                <w:color w:val="000000"/>
                <w:szCs w:val="21"/>
              </w:rPr>
              <w:t>3</w:t>
            </w:r>
            <w:r>
              <w:rPr>
                <w:rFonts w:hint="eastAsia" w:asciiTheme="minorEastAsia" w:hAnsiTheme="minorEastAsia" w:eastAsiaTheme="minorEastAsia"/>
                <w:b/>
                <w:bCs/>
                <w:color w:val="000000"/>
                <w:szCs w:val="21"/>
              </w:rPr>
              <w:t>）教学成果注重审美水平，实践应用转化有待加强</w:t>
            </w:r>
          </w:p>
          <w:p>
            <w:pPr>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重视艺术创作使产品设计专业课程的学生作业和其他教学成果具有较高的审美水平，这一点在毕业设计展中体现的比较明显。产品设计专业的毕业展作品视觉效果普遍比较好，有意向合作的企业也较多。但是从这些教学成果的后续发展上看，却存在着作品向实践应用转化方面的不足，优秀作品很多并没有转化成与市场接轨的产品或者专利。更多是停留在课程作业的阶段，需要进一步加强实践应用。</w:t>
            </w:r>
          </w:p>
          <w:p>
            <w:pPr>
              <w:spacing w:line="360" w:lineRule="auto"/>
              <w:ind w:firstLine="420" w:firstLineChars="200"/>
              <w:rPr>
                <w:rFonts w:ascii="宋体" w:hAnsi="宋体"/>
                <w:color w:val="000000"/>
                <w:szCs w:val="21"/>
              </w:rPr>
            </w:pPr>
          </w:p>
        </w:tc>
      </w:tr>
    </w:tbl>
    <w:p>
      <w:pPr>
        <w:widowControl/>
        <w:spacing w:line="360" w:lineRule="auto"/>
        <w:textAlignment w:val="baseline"/>
        <w:rPr>
          <w:rFonts w:eastAsia="仿宋_GB2312"/>
          <w:sz w:val="28"/>
        </w:rPr>
      </w:pPr>
    </w:p>
    <w:p>
      <w:pPr>
        <w:widowControl/>
        <w:spacing w:line="360" w:lineRule="auto"/>
        <w:textAlignment w:val="baseline"/>
      </w:pPr>
      <w:r>
        <w:rPr>
          <w:rFonts w:hint="eastAsia" w:eastAsia="仿宋_GB2312"/>
          <w:sz w:val="28"/>
        </w:rPr>
        <w:t>三、项目实施方案及实施计划</w:t>
      </w:r>
    </w:p>
    <w:tbl>
      <w:tblPr>
        <w:tblStyle w:val="7"/>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1" w:hRule="atLeast"/>
        </w:trPr>
        <w:tc>
          <w:tcPr>
            <w:tcW w:w="8505" w:type="dxa"/>
            <w:tcBorders>
              <w:top w:val="single" w:color="000000" w:sz="2" w:space="0"/>
              <w:left w:val="single" w:color="000000" w:sz="2" w:space="0"/>
              <w:bottom w:val="single" w:color="000000" w:sz="2" w:space="0"/>
              <w:right w:val="single" w:color="000000" w:sz="2" w:space="0"/>
            </w:tcBorders>
          </w:tcPr>
          <w:p>
            <w:pPr>
              <w:widowControl/>
              <w:spacing w:line="360" w:lineRule="auto"/>
              <w:textAlignment w:val="baseline"/>
              <w:rPr>
                <w:rFonts w:eastAsia="仿宋_GB2312"/>
              </w:rPr>
            </w:pPr>
            <w:r>
              <w:rPr>
                <w:rFonts w:eastAsia="仿宋_GB2312"/>
              </w:rPr>
              <w:t>1.</w:t>
            </w:r>
            <w:r>
              <w:rPr>
                <w:rFonts w:hint="eastAsia" w:eastAsia="仿宋_GB2312"/>
              </w:rPr>
              <w:t>具体改革内容、改革目标和拟解决的关键问题</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一．改革具体内容：</w:t>
            </w:r>
          </w:p>
          <w:p>
            <w:pPr>
              <w:spacing w:line="360" w:lineRule="auto"/>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产品设计是艺术设计类专业中对技术与艺术两方面都有很高要求的专业，注重学生的审美水平、创造能力和实践能力的培养。课题以OBE教育理念为导向，对产品设计专业核心课程群的教学目标和课程实施方案进行一系列改革，以提高教学质量，提升学生的理论水平和实践水平。</w:t>
            </w:r>
          </w:p>
          <w:p>
            <w:pPr>
              <w:spacing w:line="360" w:lineRule="auto"/>
              <w:ind w:firstLine="420" w:firstLineChars="200"/>
              <w:rPr>
                <w:rFonts w:asciiTheme="minorEastAsia" w:hAnsiTheme="minorEastAsia" w:eastAsiaTheme="minorEastAsia"/>
                <w:bCs/>
                <w:color w:val="000000"/>
                <w:szCs w:val="21"/>
              </w:rPr>
            </w:pP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二．研究拟达到的目标：</w:t>
            </w:r>
          </w:p>
          <w:p>
            <w:pPr>
              <w:pStyle w:val="11"/>
              <w:spacing w:line="360" w:lineRule="auto"/>
              <w:ind w:firstLine="422"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b/>
                <w:sz w:val="21"/>
                <w:szCs w:val="21"/>
              </w:rPr>
              <w:t>（1）加强核心课程群之间的联系，使学生获得的知识具有系统性和连贯性</w:t>
            </w:r>
            <w:r>
              <w:rPr>
                <w:rFonts w:cs="Times New Roman" w:asciiTheme="minorEastAsia" w:hAnsiTheme="minorEastAsia" w:eastAsiaTheme="minorEastAsia"/>
                <w:sz w:val="21"/>
                <w:szCs w:val="21"/>
              </w:rPr>
              <w:t xml:space="preserve"> </w:t>
            </w:r>
          </w:p>
          <w:p>
            <w:pPr>
              <w:pStyle w:val="11"/>
              <w:spacing w:line="360" w:lineRule="auto"/>
              <w:ind w:firstLine="420" w:firstLineChars="200"/>
              <w:rPr>
                <w:rFonts w:cs="Times New Roman" w:asciiTheme="minorEastAsia" w:hAnsiTheme="minorEastAsia" w:eastAsiaTheme="minorEastAsia"/>
                <w:sz w:val="21"/>
                <w:szCs w:val="21"/>
                <w:lang w:val="en-US"/>
              </w:rPr>
            </w:pPr>
            <w:r>
              <w:rPr>
                <w:rFonts w:cs="Times New Roman" w:asciiTheme="minorEastAsia" w:hAnsiTheme="minorEastAsia" w:eastAsiaTheme="minorEastAsia"/>
                <w:sz w:val="21"/>
                <w:szCs w:val="21"/>
                <w:lang w:val="en-US"/>
              </w:rPr>
              <w:t>通过构建产品设计专业核心课程群课程之间的渐进延续关系和关联力度，完善课程之间的衔接与过渡，以解决学生学习过程中碎片化、提高知识学习过程中的自主性、连贯性，</w:t>
            </w:r>
            <w:r>
              <w:rPr>
                <w:rFonts w:hint="eastAsia" w:cs="Times New Roman" w:asciiTheme="minorEastAsia" w:hAnsiTheme="minorEastAsia" w:eastAsiaTheme="minorEastAsia"/>
                <w:sz w:val="21"/>
                <w:szCs w:val="21"/>
                <w:lang w:val="en-US"/>
              </w:rPr>
              <w:t>加强学生对产品设计理解的广度与深度。</w:t>
            </w:r>
          </w:p>
          <w:p>
            <w:pPr>
              <w:pStyle w:val="11"/>
              <w:spacing w:line="360" w:lineRule="auto"/>
              <w:ind w:firstLine="422"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b/>
                <w:sz w:val="21"/>
                <w:szCs w:val="21"/>
              </w:rPr>
              <w:t>（2）</w:t>
            </w:r>
            <w:r>
              <w:rPr>
                <w:rFonts w:hint="eastAsia" w:asciiTheme="minorEastAsia" w:hAnsiTheme="minorEastAsia" w:eastAsiaTheme="minorEastAsia"/>
                <w:b/>
                <w:sz w:val="21"/>
                <w:szCs w:val="21"/>
              </w:rPr>
              <w:t>将教学成果进行转化，提高学生的实践能力</w:t>
            </w:r>
          </w:p>
          <w:p>
            <w:pPr>
              <w:spacing w:line="360" w:lineRule="auto"/>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OBE教育理念强调学生的产出，也就是学习的成果，这个成果不应该仅仅是作业，还包括学习成果给学生带来的各方面的激励。因此，</w:t>
            </w:r>
            <w:r>
              <w:rPr>
                <w:rFonts w:hint="eastAsia" w:asciiTheme="minorEastAsia" w:hAnsiTheme="minorEastAsia" w:eastAsiaTheme="minorEastAsia"/>
                <w:szCs w:val="21"/>
                <w:shd w:val="clear" w:color="auto" w:fill="FFFFFF"/>
              </w:rPr>
              <w:t>改进后的</w:t>
            </w:r>
            <w:r>
              <w:rPr>
                <w:rFonts w:hint="eastAsia" w:asciiTheme="minorEastAsia" w:hAnsiTheme="minorEastAsia" w:eastAsiaTheme="minorEastAsia"/>
                <w:bCs/>
                <w:color w:val="000000"/>
                <w:szCs w:val="21"/>
              </w:rPr>
              <w:t>课程成果形式由单纯的学生作业，转变为专利申报、参加学科竞赛、校企合作项目等，在设计实践中提高学生的实操能力和获得感。</w:t>
            </w:r>
          </w:p>
          <w:p>
            <w:pPr>
              <w:spacing w:line="360" w:lineRule="auto"/>
              <w:ind w:firstLine="315" w:firstLineChars="150"/>
              <w:rPr>
                <w:rFonts w:asciiTheme="minorEastAsia" w:hAnsiTheme="minorEastAsia" w:eastAsiaTheme="minorEastAsia"/>
                <w:bCs/>
                <w:color w:val="000000"/>
                <w:szCs w:val="21"/>
              </w:rPr>
            </w:pP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三．拟解决的关键问题：</w:t>
            </w:r>
          </w:p>
          <w:p>
            <w:pPr>
              <w:spacing w:line="360" w:lineRule="auto"/>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w:t>
            </w:r>
            <w:r>
              <w:rPr>
                <w:rFonts w:hint="eastAsia" w:asciiTheme="minorEastAsia" w:hAnsiTheme="minorEastAsia" w:eastAsiaTheme="minorEastAsia"/>
                <w:szCs w:val="21"/>
              </w:rPr>
              <w:t>解决产品设计专业现有</w:t>
            </w:r>
            <w:r>
              <w:rPr>
                <w:rFonts w:hint="eastAsia" w:asciiTheme="minorEastAsia" w:hAnsiTheme="minorEastAsia" w:eastAsiaTheme="minorEastAsia"/>
                <w:bCs/>
                <w:color w:val="000000"/>
                <w:szCs w:val="21"/>
              </w:rPr>
              <w:t>人才培养模式与社会需求脱节的问题。产品设计行业发展迅速，新技术、新材料、新需求都在不断变化。原有的人才培养模式更多的是基于学科经验而不是社会需求，导致企业招不到可用的人，而毕业生却找不到满意的工作。要解决这一问题必须建立基于社会需求的人才培养模式，这个需求包括学生自我需求和用人单位的需求。因此，导入OBE成果导向型教育理念，就是要将目的和需求作为教育的方向，这个目的就是学生在学习上获得成功，从而满足自我需求和社会需求。</w:t>
            </w:r>
          </w:p>
          <w:p>
            <w:pPr>
              <w:spacing w:line="360" w:lineRule="auto"/>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w:t>
            </w:r>
            <w:r>
              <w:rPr>
                <w:rFonts w:hint="eastAsia" w:asciiTheme="minorEastAsia" w:hAnsiTheme="minorEastAsia" w:eastAsiaTheme="minorEastAsia"/>
                <w:szCs w:val="21"/>
              </w:rPr>
              <w:t>解决</w:t>
            </w:r>
            <w:r>
              <w:rPr>
                <w:rFonts w:hint="eastAsia" w:asciiTheme="minorEastAsia" w:hAnsiTheme="minorEastAsia" w:eastAsiaTheme="minorEastAsia"/>
                <w:bCs/>
                <w:color w:val="000000"/>
                <w:szCs w:val="21"/>
              </w:rPr>
              <w:t>产品设计专业评价体系的不确定性问题。专业性质的不同导致评价体系也大相径庭，与工科类专业不同，艺术类专业的评判标准受多种因素影响，很难统一。这就会造成教师个人的因素在教学评价中影响过大，缺乏客观性。在产品设计课程评价体系中导入OBE教育理念，可将原本模糊的评价过程进行量化，比起传统艺术类专业的评价体系更加清晰，结果更具对比性、参考性和可操作性。</w:t>
            </w:r>
          </w:p>
          <w:p>
            <w:pPr>
              <w:widowControl/>
              <w:spacing w:line="360" w:lineRule="auto"/>
              <w:ind w:firstLine="420" w:firstLineChars="200"/>
              <w:textAlignment w:val="baseline"/>
            </w:pPr>
            <w:r>
              <w:rPr>
                <w:rFonts w:hint="eastAsia" w:asciiTheme="minorEastAsia" w:hAnsiTheme="minorEastAsia" w:eastAsiaTheme="minorEastAsia"/>
                <w:bCs/>
                <w:color w:val="000000"/>
                <w:szCs w:val="21"/>
              </w:rPr>
              <w:t>(3)</w:t>
            </w:r>
            <w:r>
              <w:rPr>
                <w:rFonts w:hint="eastAsia" w:asciiTheme="minorEastAsia" w:hAnsiTheme="minorEastAsia" w:eastAsiaTheme="minorEastAsia"/>
                <w:szCs w:val="21"/>
              </w:rPr>
              <w:t>解决</w:t>
            </w:r>
            <w:r>
              <w:rPr>
                <w:rFonts w:hint="eastAsia" w:asciiTheme="minorEastAsia" w:hAnsiTheme="minorEastAsia" w:eastAsiaTheme="minorEastAsia"/>
                <w:bCs/>
                <w:color w:val="000000"/>
                <w:szCs w:val="21"/>
              </w:rPr>
              <w:t>课程节奏松散导致的学习进度差异化问题。产品设计许多核心课程都需要大量的课堂练习和老师一对一的辅导，无法同时照顾到所有的学生，容易造成学生学习进度差异较大，忽略了课程的整体性和阶段性。改革后的教学方案将课程分阶段进行，要求所有学生明确自己在每个阶段完成的任务和掌握的知识。将以往碎片化的课程分阶段整合在了一起，使学生从宏观上理解并掌握连续性的知识，达到所有学生同步学习，共同进步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8505" w:type="dxa"/>
            <w:tcBorders>
              <w:top w:val="single" w:color="000000" w:sz="2" w:space="0"/>
              <w:left w:val="single" w:color="000000" w:sz="2" w:space="0"/>
              <w:bottom w:val="single" w:color="000000" w:sz="2" w:space="0"/>
              <w:right w:val="single" w:color="000000" w:sz="2" w:space="0"/>
            </w:tcBorders>
          </w:tcPr>
          <w:p>
            <w:pPr>
              <w:widowControl/>
              <w:spacing w:line="360" w:lineRule="auto"/>
              <w:textAlignment w:val="baseline"/>
              <w:rPr>
                <w:rFonts w:eastAsia="仿宋_GB2312"/>
              </w:rPr>
            </w:pPr>
            <w:r>
              <w:rPr>
                <w:rFonts w:hint="eastAsia" w:eastAsia="仿宋_GB2312"/>
              </w:rPr>
              <w:t>2.实施方案、实施方法、具体实施计划（含年度进展情况）及可行性分析</w:t>
            </w:r>
          </w:p>
          <w:p>
            <w:pPr>
              <w:widowControl/>
              <w:spacing w:line="360" w:lineRule="auto"/>
              <w:textAlignment w:val="baseline"/>
              <w:rPr>
                <w:rFonts w:eastAsia="仿宋_GB2312"/>
              </w:rPr>
            </w:pPr>
            <w:r>
              <w:rPr>
                <w:rFonts w:hint="eastAsia" w:eastAsia="仿宋_GB2312"/>
              </w:rPr>
              <w:t>一、实施方案和方法</w:t>
            </w:r>
          </w:p>
          <w:p>
            <w:pPr>
              <w:pStyle w:val="11"/>
              <w:spacing w:line="360" w:lineRule="auto"/>
              <w:rPr>
                <w:rFonts w:ascii="Times New Roman" w:hAnsi="Times New Roman" w:eastAsia="宋体" w:cs="Times New Roman"/>
                <w:b/>
                <w:sz w:val="21"/>
                <w:szCs w:val="21"/>
              </w:rPr>
            </w:pPr>
            <w:r>
              <w:rPr>
                <w:rFonts w:hint="eastAsia" w:ascii="宋体" w:hAnsi="宋体"/>
                <w:b/>
                <w:bCs/>
                <w:color w:val="000000"/>
                <w:sz w:val="21"/>
                <w:szCs w:val="21"/>
              </w:rPr>
              <w:t>(1)</w:t>
            </w:r>
            <w:r>
              <w:rPr>
                <w:rFonts w:ascii="Times New Roman" w:hAnsi="Times New Roman"/>
                <w:b/>
                <w:sz w:val="21"/>
                <w:szCs w:val="21"/>
              </w:rPr>
              <w:t xml:space="preserve"> </w:t>
            </w:r>
            <w:r>
              <w:rPr>
                <w:rFonts w:hint="eastAsia" w:ascii="Times New Roman" w:hAnsi="Times New Roman" w:eastAsia="宋体" w:cs="Times New Roman"/>
                <w:b/>
                <w:sz w:val="21"/>
                <w:szCs w:val="21"/>
              </w:rPr>
              <w:t>调整</w:t>
            </w:r>
            <w:r>
              <w:rPr>
                <w:rFonts w:ascii="Times New Roman" w:hAnsi="Times New Roman" w:eastAsia="宋体" w:cs="Times New Roman"/>
                <w:b/>
                <w:sz w:val="21"/>
                <w:szCs w:val="21"/>
              </w:rPr>
              <w:t>专业核心课程群教学目标</w:t>
            </w:r>
          </w:p>
          <w:p>
            <w:pPr>
              <w:spacing w:line="360" w:lineRule="auto"/>
              <w:ind w:firstLine="420" w:firstLineChars="200"/>
              <w:rPr>
                <w:rFonts w:ascii="宋体" w:hAnsi="宋体"/>
                <w:bCs/>
                <w:color w:val="000000"/>
                <w:szCs w:val="21"/>
              </w:rPr>
            </w:pPr>
            <w:r>
              <w:rPr>
                <w:rFonts w:hint="eastAsia" w:ascii="宋体" w:hAnsi="宋体"/>
                <w:szCs w:val="21"/>
              </w:rPr>
              <w:t>从学科的角度来看，</w:t>
            </w:r>
            <w:r>
              <w:rPr>
                <w:rFonts w:hint="eastAsia" w:ascii="宋体" w:hAnsi="宋体"/>
                <w:bCs/>
                <w:color w:val="000000"/>
                <w:szCs w:val="21"/>
              </w:rPr>
              <w:t>产品设计核心课程的教学目标是</w:t>
            </w:r>
            <w:r>
              <w:rPr>
                <w:rFonts w:hint="eastAsia" w:ascii="宋体" w:hAnsi="宋体"/>
                <w:szCs w:val="21"/>
              </w:rPr>
              <w:t>：全面认知并掌握产品设计的基本规律和设计流程</w:t>
            </w:r>
            <w:r>
              <w:rPr>
                <w:rFonts w:ascii="宋体" w:hAnsi="宋体"/>
                <w:szCs w:val="21"/>
              </w:rPr>
              <w:t>，</w:t>
            </w:r>
            <w:r>
              <w:rPr>
                <w:rFonts w:hint="eastAsia" w:ascii="宋体" w:hAnsi="宋体"/>
                <w:szCs w:val="21"/>
              </w:rPr>
              <w:t>掌握产品设计的表现技法和基本软件，具备一定的专业综合设计能力</w:t>
            </w:r>
            <w:r>
              <w:rPr>
                <w:rFonts w:ascii="宋体" w:hAnsi="宋体"/>
                <w:szCs w:val="21"/>
              </w:rPr>
              <w:t>。</w:t>
            </w:r>
            <w:r>
              <w:rPr>
                <w:rFonts w:hint="eastAsia" w:ascii="宋体" w:hAnsi="宋体"/>
                <w:szCs w:val="21"/>
              </w:rPr>
              <w:t>这一教学目标从专业本身出发，强调学生在学习过程中要注重的知识点，但忽略了不同学生之间的差异。</w:t>
            </w:r>
            <w:r>
              <w:rPr>
                <w:rFonts w:hint="eastAsia" w:ascii="宋体" w:hAnsi="宋体"/>
                <w:bCs/>
                <w:color w:val="000000"/>
                <w:szCs w:val="21"/>
              </w:rPr>
              <w:t>在教学实践过程中，根据对学生能力和兴趣的掌握，将学生分为两大类型：第一类学生有一定的艺术和审美能力，精于图形艺术创作和产品外观设计，但不擅长结构设计等技术实践；第二类学生擅于研究产品的相关技术，擅长三维建模和渲染软件的操作，有一定的动手能力，但不擅长图形图像的艺术创作。</w:t>
            </w:r>
            <w:r>
              <w:rPr>
                <w:rFonts w:hint="eastAsia" w:ascii="宋体" w:hAnsi="宋体"/>
                <w:szCs w:val="21"/>
              </w:rPr>
              <w:t>除了学习能力的差异外还有学生职业生涯规划的差异和自身兴趣的差异。因此，课题结合OBE教育理念，以学生为中心，</w:t>
            </w:r>
            <w:r>
              <w:rPr>
                <w:rFonts w:ascii="Times New Roman" w:hAnsi="Times New Roman"/>
                <w:szCs w:val="21"/>
              </w:rPr>
              <w:t>从</w:t>
            </w:r>
            <w:r>
              <w:rPr>
                <w:rFonts w:hint="eastAsia" w:ascii="Times New Roman" w:hAnsi="Times New Roman"/>
                <w:szCs w:val="21"/>
              </w:rPr>
              <w:t>实践</w:t>
            </w:r>
            <w:r>
              <w:rPr>
                <w:rFonts w:ascii="Times New Roman" w:hAnsi="Times New Roman"/>
                <w:szCs w:val="21"/>
              </w:rPr>
              <w:t>技能表达、</w:t>
            </w:r>
            <w:r>
              <w:rPr>
                <w:rFonts w:hint="eastAsia" w:ascii="Times New Roman" w:hAnsi="Times New Roman"/>
                <w:szCs w:val="21"/>
              </w:rPr>
              <w:t>艺术</w:t>
            </w:r>
            <w:r>
              <w:rPr>
                <w:rFonts w:ascii="Times New Roman" w:hAnsi="Times New Roman"/>
                <w:szCs w:val="21"/>
              </w:rPr>
              <w:t>设计思维、文化素质层面设定核心课程群的教学目标</w:t>
            </w:r>
            <w:r>
              <w:rPr>
                <w:rFonts w:hint="eastAsia" w:ascii="宋体" w:hAnsi="宋体"/>
                <w:szCs w:val="21"/>
              </w:rPr>
              <w:t>。</w:t>
            </w:r>
          </w:p>
          <w:p>
            <w:pPr>
              <w:spacing w:line="360" w:lineRule="auto"/>
              <w:ind w:firstLine="420" w:firstLineChars="200"/>
              <w:rPr>
                <w:rFonts w:ascii="宋体" w:hAnsi="宋体"/>
                <w:szCs w:val="21"/>
              </w:rPr>
            </w:pPr>
          </w:p>
          <w:p>
            <w:pPr>
              <w:spacing w:line="360" w:lineRule="auto"/>
              <w:rPr>
                <w:rFonts w:ascii="宋体" w:hAnsi="宋体"/>
                <w:b/>
                <w:bCs/>
                <w:color w:val="000000"/>
                <w:szCs w:val="21"/>
              </w:rPr>
            </w:pPr>
            <w:r>
              <w:rPr>
                <w:rFonts w:hint="eastAsia" w:ascii="宋体" w:hAnsi="宋体"/>
                <w:b/>
                <w:bCs/>
                <w:color w:val="000000"/>
                <w:szCs w:val="21"/>
              </w:rPr>
              <w:t>(2)改革</w:t>
            </w:r>
            <w:r>
              <w:rPr>
                <w:rFonts w:ascii="Times New Roman" w:hAnsi="Times New Roman"/>
                <w:b/>
                <w:szCs w:val="21"/>
              </w:rPr>
              <w:t>核心课程群</w:t>
            </w:r>
            <w:r>
              <w:rPr>
                <w:rFonts w:hint="eastAsia" w:ascii="宋体" w:hAnsi="宋体"/>
                <w:b/>
                <w:bCs/>
                <w:color w:val="000000"/>
                <w:szCs w:val="21"/>
              </w:rPr>
              <w:t>实施方案</w:t>
            </w:r>
          </w:p>
          <w:p>
            <w:pPr>
              <w:spacing w:line="360" w:lineRule="auto"/>
              <w:rPr>
                <w:rFonts w:ascii="宋体" w:hAnsi="宋体"/>
                <w:bCs/>
                <w:color w:val="000000"/>
                <w:szCs w:val="21"/>
              </w:rPr>
            </w:pPr>
            <w:r>
              <w:rPr>
                <w:rFonts w:hint="eastAsia" w:ascii="宋体" w:hAnsi="宋体"/>
                <w:bCs/>
                <w:color w:val="000000"/>
                <w:szCs w:val="21"/>
              </w:rPr>
              <w:t xml:space="preserve">  </w:t>
            </w:r>
            <w:r>
              <w:rPr>
                <w:rFonts w:hint="eastAsia" w:ascii="宋体" w:hAnsi="宋体"/>
                <w:color w:val="000000"/>
                <w:szCs w:val="21"/>
              </w:rPr>
              <w:t xml:space="preserve">  教学实施方案是决定改革成败的关键环节</w:t>
            </w:r>
            <w:r>
              <w:rPr>
                <w:rFonts w:hint="eastAsia" w:ascii="宋体" w:hAnsi="宋体"/>
                <w:szCs w:val="21"/>
              </w:rPr>
              <w:t>，</w:t>
            </w:r>
            <w:r>
              <w:rPr>
                <w:rFonts w:hint="eastAsia" w:ascii="宋体" w:hAnsi="宋体"/>
                <w:color w:val="000000"/>
                <w:szCs w:val="21"/>
              </w:rPr>
              <w:t>对改革的实施意义重大。产品设计核心课程的传统教学实施方案是教师讲完理论知识后布置作业，学生按照要求完成作业，教师根据作业结果打分。该方案没有将知识点融入到整个学习过程中，最后的分数更多体现的是作业最终的效果，至于学生是否切实掌握相关的知识点却无从验证。作业形式的单一也导致学生不重视自己的学习成果，普遍具有“完成任务拿到学分的”心里，具有一定的局限性。为了更好地实现专业培养目标，本课题导入OBE教育理念，对产品设计专业核心课程群的教学实施方案作出了以下三点改革：</w:t>
            </w:r>
            <w:r>
              <w:rPr>
                <w:rFonts w:hint="eastAsia" w:ascii="宋体" w:hAnsi="宋体"/>
                <w:bCs/>
                <w:color w:val="000000"/>
                <w:szCs w:val="21"/>
              </w:rPr>
              <w:t xml:space="preserve">   </w:t>
            </w:r>
          </w:p>
          <w:p>
            <w:pPr>
              <w:spacing w:line="360" w:lineRule="auto"/>
              <w:ind w:firstLine="422" w:firstLineChars="200"/>
              <w:rPr>
                <w:rFonts w:ascii="宋体" w:hAnsi="宋体"/>
                <w:b/>
                <w:bCs/>
                <w:color w:val="000000"/>
                <w:szCs w:val="21"/>
              </w:rPr>
            </w:pPr>
            <w:r>
              <w:rPr>
                <w:rFonts w:hint="eastAsia" w:ascii="宋体" w:hAnsi="宋体"/>
                <w:b/>
                <w:bCs/>
                <w:color w:val="000000"/>
                <w:szCs w:val="21"/>
              </w:rPr>
              <w:t>一、课程设置阶段化，保障学生获得的知识具有系统性和连贯性。</w:t>
            </w:r>
          </w:p>
          <w:p>
            <w:pPr>
              <w:spacing w:line="360" w:lineRule="auto"/>
              <w:ind w:firstLine="420" w:firstLineChars="200"/>
              <w:rPr>
                <w:rFonts w:ascii="宋体" w:hAnsi="宋体"/>
                <w:szCs w:val="21"/>
                <w:shd w:val="clear" w:color="auto" w:fill="FFFFFF"/>
              </w:rPr>
            </w:pPr>
            <w:r>
              <w:rPr>
                <w:rFonts w:hint="eastAsia" w:ascii="宋体" w:hAnsi="宋体"/>
                <w:color w:val="000000"/>
                <w:szCs w:val="21"/>
              </w:rPr>
              <w:t>（1）课程顺序阶段化。为了</w:t>
            </w:r>
            <w:r>
              <w:rPr>
                <w:rFonts w:hint="eastAsia" w:ascii="宋体" w:hAnsi="宋体"/>
                <w:bCs/>
                <w:color w:val="000000"/>
                <w:szCs w:val="21"/>
              </w:rPr>
              <w:t>保障学生获得的知识具有系统性和连贯性，将</w:t>
            </w:r>
            <w:r>
              <w:rPr>
                <w:rFonts w:hint="eastAsia" w:ascii="宋体" w:hAnsi="宋体"/>
                <w:color w:val="000000"/>
                <w:szCs w:val="21"/>
              </w:rPr>
              <w:t>产品品牌开发与推广</w:t>
            </w:r>
            <w:r>
              <w:rPr>
                <w:rFonts w:hint="eastAsia" w:ascii="宋体" w:hAnsi="宋体"/>
                <w:szCs w:val="21"/>
                <w:shd w:val="clear" w:color="auto" w:fill="FFFFFF"/>
              </w:rPr>
              <w:t>、公共产品设计、文创产品设计、交互设计四门课程的开课顺序调整为：文创产品设计——公共产品设计——交互设计——</w:t>
            </w:r>
            <w:r>
              <w:rPr>
                <w:rFonts w:hint="eastAsia" w:ascii="宋体" w:hAnsi="宋体"/>
                <w:color w:val="000000"/>
                <w:szCs w:val="21"/>
              </w:rPr>
              <w:t>产品品牌开发与推广。形成一套全面而整体的产品设计教学链条，使各核心课程之间的联系和衔接更加紧密。让学生全面学习从小产品到大产品，从实物产品到虚拟产品，最后统一到品牌之中的过程。</w:t>
            </w:r>
            <w:r>
              <w:rPr>
                <w:rFonts w:hint="eastAsia"/>
                <w:bCs/>
                <w:color w:val="000000"/>
                <w:szCs w:val="21"/>
              </w:rPr>
              <w:t>也使教学成果形成从作业到作品，从作品到产品、从产品到商品、从商品到品牌的转换。</w:t>
            </w:r>
          </w:p>
          <w:p>
            <w:pPr>
              <w:spacing w:line="360" w:lineRule="auto"/>
              <w:ind w:firstLine="420" w:firstLineChars="200"/>
              <w:rPr>
                <w:rFonts w:ascii="宋体" w:hAnsi="宋体"/>
                <w:bCs/>
                <w:color w:val="000000"/>
                <w:szCs w:val="21"/>
              </w:rPr>
            </w:pPr>
            <w:r>
              <w:rPr>
                <w:rFonts w:hint="eastAsia" w:ascii="宋体" w:hAnsi="宋体"/>
                <w:color w:val="000000"/>
                <w:szCs w:val="21"/>
              </w:rPr>
              <w:t>（2）</w:t>
            </w:r>
            <w:r>
              <w:rPr>
                <w:rFonts w:hint="eastAsia" w:ascii="宋体" w:hAnsi="宋体"/>
                <w:szCs w:val="21"/>
                <w:shd w:val="clear" w:color="auto" w:fill="FFFFFF"/>
              </w:rPr>
              <w:t>授课过程</w:t>
            </w:r>
            <w:r>
              <w:rPr>
                <w:rFonts w:hint="eastAsia" w:ascii="宋体" w:hAnsi="宋体"/>
                <w:color w:val="000000"/>
                <w:szCs w:val="21"/>
              </w:rPr>
              <w:t>阶段化。OBE教育理念专注学生的学习结果，为了</w:t>
            </w:r>
            <w:r>
              <w:rPr>
                <w:rFonts w:hint="eastAsia" w:ascii="宋体" w:hAnsi="宋体"/>
                <w:bCs/>
                <w:color w:val="000000"/>
                <w:szCs w:val="21"/>
              </w:rPr>
              <w:t>保障学生能够切实掌握相应的知识点，</w:t>
            </w:r>
            <w:r>
              <w:rPr>
                <w:rFonts w:hint="eastAsia" w:ascii="宋体" w:hAnsi="宋体"/>
                <w:color w:val="000000"/>
                <w:szCs w:val="21"/>
              </w:rPr>
              <w:t>将核心课程的授课过程</w:t>
            </w:r>
            <w:r>
              <w:rPr>
                <w:rFonts w:hint="eastAsia" w:ascii="宋体" w:hAnsi="宋体"/>
                <w:bCs/>
                <w:color w:val="000000"/>
                <w:szCs w:val="21"/>
              </w:rPr>
              <w:t xml:space="preserve">分为理论讲解、前期调研、作品创作、建模渲染四个阶段，并设定每个阶段所要掌握的知识点。  </w:t>
            </w:r>
          </w:p>
          <w:p>
            <w:pPr>
              <w:spacing w:line="360" w:lineRule="auto"/>
              <w:ind w:firstLine="420" w:firstLineChars="200"/>
              <w:rPr>
                <w:rFonts w:ascii="宋体" w:hAnsi="宋体"/>
                <w:bCs/>
                <w:color w:val="000000"/>
                <w:szCs w:val="21"/>
              </w:rPr>
            </w:pPr>
            <w:r>
              <w:rPr>
                <w:rFonts w:hint="eastAsia" w:ascii="宋体" w:hAnsi="宋体"/>
                <w:bCs/>
                <w:color w:val="000000"/>
                <w:szCs w:val="21"/>
              </w:rPr>
              <w:t>理论讲解阶段,8课时，主要由教师讲授课程的理论知识，要求学生全面认知并掌握所学课程的知识点和设计流程；</w:t>
            </w:r>
          </w:p>
          <w:p>
            <w:pPr>
              <w:spacing w:line="360" w:lineRule="auto"/>
              <w:ind w:firstLine="420" w:firstLineChars="200"/>
              <w:rPr>
                <w:rFonts w:ascii="宋体" w:hAnsi="宋体"/>
                <w:bCs/>
                <w:color w:val="000000"/>
                <w:szCs w:val="21"/>
              </w:rPr>
            </w:pPr>
            <w:r>
              <w:rPr>
                <w:rFonts w:hint="eastAsia" w:ascii="宋体" w:hAnsi="宋体"/>
                <w:bCs/>
                <w:color w:val="000000"/>
                <w:szCs w:val="21"/>
              </w:rPr>
              <w:t>前期调研阶段4课时，要求学生在课程内容范围内选择自己感兴趣的方向进行实地调研，通过调研找到现有产品的优点和不足，并思考如何改进，要掌握的知识点是调查问卷的设计和用户需求分析；</w:t>
            </w:r>
          </w:p>
          <w:p>
            <w:pPr>
              <w:spacing w:line="360" w:lineRule="auto"/>
              <w:ind w:firstLine="420" w:firstLineChars="200"/>
              <w:rPr>
                <w:rFonts w:ascii="宋体" w:hAnsi="宋体"/>
                <w:bCs/>
                <w:color w:val="000000"/>
                <w:szCs w:val="21"/>
              </w:rPr>
            </w:pPr>
            <w:r>
              <w:rPr>
                <w:rFonts w:hint="eastAsia" w:ascii="宋体" w:hAnsi="宋体"/>
                <w:bCs/>
                <w:color w:val="000000"/>
                <w:szCs w:val="21"/>
              </w:rPr>
              <w:t>作品创作阶段16-32课时，这是学生根据调研结果进行综合设计的过程，也是所有核心课程的主要阶段，这一过程中允许学生根据自己的兴趣和能力，从艺术或者技术角度设计作品，教师全程进行一对一的辅导和交流。要掌握的知识点是素材的提取与再设计、从创意到草图的演变、常规结构的运用，以及与老师沟通交流时阐述问题的能力；</w:t>
            </w:r>
          </w:p>
          <w:p>
            <w:pPr>
              <w:spacing w:line="360" w:lineRule="auto"/>
              <w:ind w:firstLine="420" w:firstLineChars="200"/>
              <w:rPr>
                <w:rFonts w:ascii="宋体" w:hAnsi="宋体"/>
                <w:bCs/>
                <w:color w:val="000000"/>
                <w:szCs w:val="21"/>
              </w:rPr>
            </w:pPr>
            <w:r>
              <w:rPr>
                <w:rFonts w:hint="eastAsia" w:ascii="宋体" w:hAnsi="宋体"/>
                <w:bCs/>
                <w:color w:val="000000"/>
                <w:szCs w:val="21"/>
              </w:rPr>
              <w:t>建模渲染阶4-8课时，段需要将作品以模型渲染图的形式呈现出来，要求掌握的知识点是对三维建模软件</w:t>
            </w:r>
            <w:r>
              <w:rPr>
                <w:rFonts w:ascii="宋体" w:hAnsi="宋体"/>
                <w:bCs/>
                <w:color w:val="000000"/>
                <w:szCs w:val="21"/>
              </w:rPr>
              <w:t>Rhinoceros</w:t>
            </w:r>
            <w:r>
              <w:rPr>
                <w:rFonts w:hint="eastAsia" w:ascii="宋体" w:hAnsi="宋体"/>
                <w:bCs/>
                <w:color w:val="000000"/>
                <w:szCs w:val="21"/>
              </w:rPr>
              <w:t>、渲染软件</w:t>
            </w:r>
            <w:r>
              <w:rPr>
                <w:rFonts w:ascii="宋体" w:hAnsi="宋体"/>
                <w:bCs/>
                <w:color w:val="000000"/>
                <w:szCs w:val="21"/>
              </w:rPr>
              <w:t>KeyShot</w:t>
            </w:r>
            <w:r>
              <w:rPr>
                <w:rFonts w:hint="eastAsia" w:ascii="宋体" w:hAnsi="宋体"/>
                <w:bCs/>
                <w:color w:val="000000"/>
                <w:szCs w:val="21"/>
              </w:rPr>
              <w:t>、图形图像软件</w:t>
            </w:r>
            <w:r>
              <w:rPr>
                <w:rFonts w:ascii="宋体" w:hAnsi="宋体"/>
                <w:bCs/>
                <w:color w:val="000000"/>
                <w:szCs w:val="21"/>
              </w:rPr>
              <w:t>Photoshop</w:t>
            </w:r>
            <w:r>
              <w:rPr>
                <w:rFonts w:hint="eastAsia" w:ascii="宋体" w:hAnsi="宋体"/>
                <w:bCs/>
                <w:color w:val="000000"/>
                <w:szCs w:val="21"/>
              </w:rPr>
              <w:t>、</w:t>
            </w:r>
            <w:r>
              <w:rPr>
                <w:rFonts w:ascii="宋体" w:hAnsi="宋体"/>
                <w:bCs/>
                <w:color w:val="000000"/>
                <w:szCs w:val="21"/>
              </w:rPr>
              <w:t>Illustrator</w:t>
            </w:r>
            <w:r>
              <w:rPr>
                <w:rFonts w:hint="eastAsia" w:ascii="宋体" w:hAnsi="宋体"/>
                <w:bCs/>
                <w:color w:val="000000"/>
                <w:szCs w:val="21"/>
              </w:rPr>
              <w:t>的熟练操作；</w:t>
            </w:r>
          </w:p>
          <w:p>
            <w:pPr>
              <w:spacing w:line="360" w:lineRule="auto"/>
              <w:ind w:firstLine="420" w:firstLineChars="200"/>
              <w:rPr>
                <w:rFonts w:ascii="宋体" w:hAnsi="宋体"/>
                <w:bCs/>
                <w:color w:val="000000"/>
                <w:szCs w:val="21"/>
              </w:rPr>
            </w:pPr>
            <w:r>
              <w:rPr>
                <w:rFonts w:hint="eastAsia" w:ascii="宋体" w:hAnsi="宋体"/>
                <w:bCs/>
                <w:color w:val="000000"/>
                <w:szCs w:val="21"/>
              </w:rPr>
              <w:t>通过这四个阶段的学习，能够保障学生在每个阶段掌握相应的知识点，体验完整的设计步骤和流程。</w:t>
            </w:r>
          </w:p>
          <w:p>
            <w:pPr>
              <w:spacing w:line="360" w:lineRule="auto"/>
              <w:rPr>
                <w:rFonts w:ascii="宋体" w:hAnsi="宋体"/>
                <w:b/>
                <w:bCs/>
                <w:color w:val="000000"/>
                <w:szCs w:val="21"/>
              </w:rPr>
            </w:pPr>
            <w:r>
              <w:rPr>
                <w:rFonts w:hint="eastAsia" w:ascii="宋体" w:hAnsi="宋体"/>
                <w:bCs/>
                <w:color w:val="000000"/>
                <w:szCs w:val="21"/>
              </w:rPr>
              <w:t xml:space="preserve">    </w:t>
            </w:r>
            <w:r>
              <w:rPr>
                <w:rFonts w:hint="eastAsia" w:ascii="宋体" w:hAnsi="宋体"/>
                <w:b/>
                <w:bCs/>
                <w:color w:val="000000"/>
                <w:szCs w:val="21"/>
              </w:rPr>
              <w:t>二、课程评价多样化，保障学生切实掌握相关知识。</w:t>
            </w:r>
          </w:p>
          <w:p>
            <w:pPr>
              <w:spacing w:line="360" w:lineRule="auto"/>
              <w:ind w:firstLine="420" w:firstLineChars="200"/>
              <w:rPr>
                <w:rFonts w:ascii="宋体" w:hAnsi="宋体"/>
                <w:szCs w:val="21"/>
                <w:shd w:val="clear" w:color="auto" w:fill="FFFFFF"/>
              </w:rPr>
            </w:pPr>
            <w:r>
              <w:rPr>
                <w:rFonts w:hint="eastAsia" w:ascii="宋体" w:hAnsi="宋体"/>
                <w:bCs/>
                <w:color w:val="000000"/>
                <w:szCs w:val="21"/>
              </w:rPr>
              <w:t>由于艺术设计类专业的特殊性，最终作品的产生具有一定的偶然性，是各种可控与不可控因素相互影响的结果。比如突然的灵感闪现、可遇不可求的肌理效果、头脑风暴中产生的新概念等等。传统评价体系过于注重学生最后的作业效果，无法很好地帮助教师了解学生在是否切实掌握了每个阶段的相关知识。所以总评成绩的构成除了体现作业的最终效果外，还要体现学生在每个学习阶段展现出的能力。因此，在课程评价体系中导入过程性评价并提高</w:t>
            </w:r>
            <w:r>
              <w:rPr>
                <w:rFonts w:hint="eastAsia" w:ascii="宋体" w:hAnsi="宋体"/>
                <w:szCs w:val="21"/>
                <w:shd w:val="clear" w:color="auto" w:fill="FFFFFF"/>
              </w:rPr>
              <w:t>过程性考核成绩在总评成绩中的占比，显得十分必要。</w:t>
            </w:r>
          </w:p>
          <w:p>
            <w:pPr>
              <w:spacing w:line="360" w:lineRule="auto"/>
              <w:ind w:firstLine="420" w:firstLineChars="200"/>
              <w:rPr>
                <w:rFonts w:ascii="宋体" w:hAnsi="宋体"/>
                <w:szCs w:val="21"/>
                <w:shd w:val="clear" w:color="auto" w:fill="FFFFFF"/>
              </w:rPr>
            </w:pPr>
            <w:r>
              <w:rPr>
                <w:rFonts w:hint="eastAsia" w:ascii="宋体" w:hAnsi="宋体"/>
                <w:szCs w:val="21"/>
                <w:shd w:val="clear" w:color="auto" w:fill="FFFFFF"/>
              </w:rPr>
              <w:t>鉴于课程评价中的实际情况，改进后的</w:t>
            </w:r>
            <w:r>
              <w:rPr>
                <w:rFonts w:hint="eastAsia" w:ascii="宋体" w:hAnsi="宋体"/>
                <w:bCs/>
                <w:color w:val="000000"/>
                <w:szCs w:val="21"/>
              </w:rPr>
              <w:t>课程评价体系包括</w:t>
            </w:r>
            <w:r>
              <w:rPr>
                <w:rFonts w:hint="eastAsia" w:ascii="宋体" w:hAnsi="宋体"/>
                <w:szCs w:val="21"/>
                <w:shd w:val="clear" w:color="auto" w:fill="FFFFFF"/>
              </w:rPr>
              <w:t>过程性考核成绩和期末成绩两部分，两者满分均为100分，在课程总评成绩中的占比分别为过程性考核成绩60%，期末成绩40%。其中过程性考核又分为出勤率、课程调研、思维创意、专业讨论四个部分，分别考查学生的学习态度、对设计项目的思考深度、阐述设计思路的表达能力和创意思维的活跃程度。这四个方面的能力对于从事创意工作和商业设计的设计师来说必不可少，是培养创新型人才的基础。期末成绩是作业最终效果的体现，考查学生的软件操作能力和实践动手能力，是培养应用型人才的基础。</w:t>
            </w:r>
          </w:p>
          <w:p>
            <w:pPr>
              <w:spacing w:line="360" w:lineRule="auto"/>
              <w:ind w:firstLine="405"/>
              <w:rPr>
                <w:rFonts w:ascii="宋体" w:hAnsi="宋体"/>
                <w:b/>
                <w:bCs/>
                <w:color w:val="000000"/>
                <w:szCs w:val="21"/>
              </w:rPr>
            </w:pPr>
            <w:r>
              <w:rPr>
                <w:rFonts w:hint="eastAsia" w:ascii="宋体" w:hAnsi="宋体"/>
                <w:b/>
                <w:bCs/>
                <w:color w:val="000000"/>
                <w:szCs w:val="21"/>
              </w:rPr>
              <w:t>三、学习成果可转化，保障学生的实践能力得到提升。</w:t>
            </w:r>
          </w:p>
          <w:p>
            <w:pPr>
              <w:spacing w:line="360" w:lineRule="auto"/>
              <w:ind w:firstLine="405"/>
              <w:rPr>
                <w:rFonts w:ascii="宋体" w:hAnsi="宋体"/>
                <w:bCs/>
                <w:color w:val="000000"/>
                <w:szCs w:val="21"/>
              </w:rPr>
            </w:pPr>
            <w:r>
              <w:rPr>
                <w:rFonts w:hint="eastAsia" w:ascii="宋体" w:hAnsi="宋体"/>
                <w:bCs/>
                <w:color w:val="000000"/>
                <w:szCs w:val="21"/>
              </w:rPr>
              <w:t xml:space="preserve"> OBE教育理念强调学生的产出，也就是学习的成果，这个成果不应该仅仅是作业，还包括学习成果给学生带来的各方面的激励。对于学生来说，以单一的作业形式结束课程更像是为了拿到学分，完成课程任务，对实践能力的锻炼不够。对于老师来说，教学过程和结果过于封闭，缺乏外界的认可，得不到有效的延展，对后续的教学改进不利。因此，</w:t>
            </w:r>
            <w:r>
              <w:rPr>
                <w:rFonts w:hint="eastAsia" w:ascii="宋体" w:hAnsi="宋体"/>
                <w:szCs w:val="21"/>
                <w:shd w:val="clear" w:color="auto" w:fill="FFFFFF"/>
              </w:rPr>
              <w:t>改进后的</w:t>
            </w:r>
            <w:r>
              <w:rPr>
                <w:rFonts w:hint="eastAsia" w:ascii="宋体" w:hAnsi="宋体"/>
                <w:bCs/>
                <w:color w:val="000000"/>
                <w:szCs w:val="21"/>
              </w:rPr>
              <w:t>课程成果形式由单纯的学生作业，转变为专利申报和参加学科竞赛。并建立量化指标，要求</w:t>
            </w:r>
            <w:r>
              <w:rPr>
                <w:rFonts w:hint="eastAsia" w:ascii="宋体" w:hAnsi="宋体"/>
                <w:szCs w:val="21"/>
                <w:shd w:val="clear" w:color="auto" w:fill="FFFFFF"/>
              </w:rPr>
              <w:t>公共产品设计、文创产品设计、交互设计这三</w:t>
            </w:r>
            <w:r>
              <w:rPr>
                <w:rFonts w:hint="eastAsia" w:ascii="宋体" w:hAnsi="宋体"/>
                <w:bCs/>
                <w:color w:val="000000"/>
                <w:szCs w:val="21"/>
              </w:rPr>
              <w:t>门课程成绩为优秀（90分以上）的作业，经过改进后申报实用新型专利和发明专利，并且每年获得实用新型专利授权不少于3项。</w:t>
            </w:r>
            <w:r>
              <w:rPr>
                <w:rFonts w:hint="eastAsia" w:ascii="宋体" w:hAnsi="宋体"/>
                <w:color w:val="000000"/>
                <w:szCs w:val="21"/>
              </w:rPr>
              <w:t>产品品牌开发与推广</w:t>
            </w:r>
            <w:r>
              <w:rPr>
                <w:rFonts w:hint="eastAsia" w:ascii="宋体" w:hAnsi="宋体"/>
                <w:bCs/>
                <w:color w:val="000000"/>
                <w:szCs w:val="21"/>
              </w:rPr>
              <w:t>课程成绩为优秀（90分以上）的作业，经过改进后参加学科竞赛。在这一转化的过程中，极大提高了学生的学习主动性和设计实践能力。对于老师来说，教学成果获得了国家认证机构、企业和行业的认可，也能进一步促进教学和科研水平。</w:t>
            </w:r>
          </w:p>
          <w:p>
            <w:pPr>
              <w:spacing w:line="360" w:lineRule="auto"/>
              <w:ind w:firstLine="405"/>
              <w:rPr>
                <w:rFonts w:ascii="宋体" w:hAnsi="宋体"/>
                <w:bCs/>
                <w:color w:val="000000"/>
                <w:szCs w:val="21"/>
              </w:rPr>
            </w:pPr>
          </w:p>
          <w:p>
            <w:pPr>
              <w:spacing w:line="360" w:lineRule="auto"/>
              <w:ind w:firstLine="405"/>
              <w:rPr>
                <w:rFonts w:ascii="宋体" w:hAnsi="宋体"/>
                <w:bCs/>
                <w:color w:val="000000"/>
                <w:szCs w:val="21"/>
              </w:rPr>
            </w:pPr>
          </w:p>
          <w:p>
            <w:pPr>
              <w:tabs>
                <w:tab w:val="left" w:pos="2370"/>
              </w:tabs>
              <w:spacing w:line="360" w:lineRule="auto"/>
              <w:jc w:val="center"/>
              <w:rPr>
                <w:rFonts w:hint="eastAsia" w:ascii="Times New Roman" w:hAnsi="Times New Roman"/>
              </w:rPr>
            </w:pPr>
            <w:r>
              <w:rPr>
                <w:rFonts w:ascii="Times New Roman" w:hAnsi="Times New Roman"/>
              </w:rPr>
              <w:t>图1 实施方案</w:t>
            </w:r>
          </w:p>
          <w:p>
            <w:pPr>
              <w:tabs>
                <w:tab w:val="left" w:pos="2370"/>
              </w:tabs>
              <w:spacing w:line="360" w:lineRule="auto"/>
              <w:jc w:val="center"/>
              <w:rPr>
                <w:rFonts w:ascii="Times New Roman" w:hAnsi="Times New Roman"/>
              </w:rPr>
            </w:pPr>
          </w:p>
          <w:p>
            <w:pPr>
              <w:spacing w:line="360" w:lineRule="auto"/>
              <w:ind w:firstLine="105" w:firstLineChars="50"/>
              <w:rPr>
                <w:rFonts w:ascii="宋体" w:hAnsi="宋体"/>
                <w:bCs/>
                <w:color w:val="000000"/>
                <w:szCs w:val="21"/>
              </w:rPr>
            </w:pPr>
            <w:r>
              <w:rPr>
                <w:rFonts w:ascii="宋体" w:hAnsi="宋体"/>
                <w:bCs/>
                <w:color w:val="000000"/>
                <w:szCs w:val="21"/>
              </w:rPr>
              <w:drawing>
                <wp:inline distT="0" distB="0" distL="0" distR="0">
                  <wp:extent cx="5184775" cy="2740660"/>
                  <wp:effectExtent l="19050" t="0" r="0" b="0"/>
                  <wp:docPr id="3" name="图片 2" descr="I:\1工作\3理论科研项目\1纵向科研\2019浙江省“十三五”人才培养项目立项申报通知\教改方案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1工作\3理论科研项目\1纵向科研\2019浙江省“十三五”人才培养项目立项申报通知\教改方案图.png"/>
                          <pic:cNvPicPr>
                            <a:picLocks noChangeAspect="1" noChangeArrowheads="1"/>
                          </pic:cNvPicPr>
                        </pic:nvPicPr>
                        <pic:blipFill>
                          <a:blip r:embed="rId4" cstate="print"/>
                          <a:srcRect/>
                          <a:stretch>
                            <a:fillRect/>
                          </a:stretch>
                        </pic:blipFill>
                        <pic:spPr>
                          <a:xfrm>
                            <a:off x="0" y="0"/>
                            <a:ext cx="5191442" cy="2744310"/>
                          </a:xfrm>
                          <a:prstGeom prst="rect">
                            <a:avLst/>
                          </a:prstGeom>
                          <a:noFill/>
                          <a:ln w="9525">
                            <a:noFill/>
                            <a:miter lim="800000"/>
                            <a:headEnd/>
                            <a:tailEnd/>
                          </a:ln>
                        </pic:spPr>
                      </pic:pic>
                    </a:graphicData>
                  </a:graphic>
                </wp:inline>
              </w:drawing>
            </w:r>
          </w:p>
          <w:p>
            <w:pPr>
              <w:spacing w:line="360" w:lineRule="auto"/>
              <w:ind w:firstLine="405"/>
              <w:rPr>
                <w:rFonts w:ascii="宋体" w:hAnsi="宋体"/>
                <w:bCs/>
                <w:color w:val="000000"/>
                <w:szCs w:val="21"/>
              </w:rPr>
            </w:pPr>
          </w:p>
          <w:p>
            <w:pPr>
              <w:spacing w:line="360" w:lineRule="auto"/>
              <w:rPr>
                <w:rFonts w:eastAsia="仿宋_GB2312"/>
              </w:rPr>
            </w:pPr>
            <w:r>
              <w:rPr>
                <w:rFonts w:hint="eastAsia" w:eastAsia="仿宋_GB2312"/>
              </w:rPr>
              <w:t>二、具体实施计划</w:t>
            </w:r>
          </w:p>
          <w:p>
            <w:pPr>
              <w:widowControl/>
              <w:spacing w:beforeLines="50" w:afterLines="50" w:line="360" w:lineRule="auto"/>
              <w:ind w:firstLine="420" w:firstLineChars="200"/>
              <w:jc w:val="center"/>
              <w:textAlignment w:val="baseline"/>
              <w:rPr>
                <w:rFonts w:ascii="Times New Roman" w:hAnsi="Times New Roman"/>
                <w:szCs w:val="21"/>
              </w:rPr>
            </w:pPr>
            <w:r>
              <w:rPr>
                <w:rFonts w:ascii="Times New Roman" w:hAnsi="Times New Roman"/>
                <w:szCs w:val="21"/>
              </w:rPr>
              <w:t>表1 项目进度表</w:t>
            </w:r>
          </w:p>
          <w:tbl>
            <w:tblPr>
              <w:tblStyle w:val="7"/>
              <w:tblW w:w="8500" w:type="dxa"/>
              <w:tblInd w:w="0" w:type="dxa"/>
              <w:tblLayout w:type="fixed"/>
              <w:tblCellMar>
                <w:top w:w="0" w:type="dxa"/>
                <w:left w:w="108" w:type="dxa"/>
                <w:bottom w:w="0" w:type="dxa"/>
                <w:right w:w="108" w:type="dxa"/>
              </w:tblCellMar>
            </w:tblPr>
            <w:tblGrid>
              <w:gridCol w:w="838"/>
              <w:gridCol w:w="2268"/>
              <w:gridCol w:w="850"/>
              <w:gridCol w:w="851"/>
              <w:gridCol w:w="992"/>
              <w:gridCol w:w="851"/>
              <w:gridCol w:w="850"/>
              <w:gridCol w:w="1000"/>
            </w:tblGrid>
            <w:tr>
              <w:tblPrEx>
                <w:tblCellMar>
                  <w:top w:w="0" w:type="dxa"/>
                  <w:left w:w="108" w:type="dxa"/>
                  <w:bottom w:w="0" w:type="dxa"/>
                  <w:right w:w="108" w:type="dxa"/>
                </w:tblCellMar>
              </w:tblPrEx>
              <w:trPr>
                <w:trHeight w:val="360" w:hRule="atLeast"/>
              </w:trPr>
              <w:tc>
                <w:tcPr>
                  <w:tcW w:w="310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000000"/>
                      <w:kern w:val="0"/>
                      <w:szCs w:val="21"/>
                    </w:rPr>
                  </w:pPr>
                  <w:r>
                    <w:rPr>
                      <w:rFonts w:ascii="Times New Roman" w:hAnsi="Times New Roman" w:eastAsiaTheme="majorEastAsia"/>
                      <w:color w:val="000000"/>
                      <w:kern w:val="0"/>
                      <w:szCs w:val="21"/>
                    </w:rPr>
                    <w:t>研究步骤</w:t>
                  </w:r>
                </w:p>
              </w:tc>
              <w:tc>
                <w:tcPr>
                  <w:tcW w:w="269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000000"/>
                      <w:kern w:val="0"/>
                      <w:szCs w:val="21"/>
                    </w:rPr>
                  </w:pPr>
                  <w:r>
                    <w:rPr>
                      <w:rFonts w:ascii="Times New Roman" w:hAnsi="Times New Roman" w:eastAsiaTheme="majorEastAsia"/>
                      <w:color w:val="000000"/>
                      <w:kern w:val="0"/>
                      <w:szCs w:val="21"/>
                    </w:rPr>
                    <w:t>2020年</w:t>
                  </w:r>
                </w:p>
              </w:tc>
              <w:tc>
                <w:tcPr>
                  <w:tcW w:w="270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000000"/>
                      <w:kern w:val="0"/>
                      <w:szCs w:val="21"/>
                    </w:rPr>
                  </w:pPr>
                  <w:r>
                    <w:rPr>
                      <w:rFonts w:ascii="Times New Roman" w:hAnsi="Times New Roman" w:eastAsiaTheme="majorEastAsia"/>
                      <w:color w:val="000000"/>
                      <w:kern w:val="0"/>
                      <w:szCs w:val="21"/>
                    </w:rPr>
                    <w:t>2021年</w:t>
                  </w:r>
                </w:p>
              </w:tc>
            </w:tr>
            <w:tr>
              <w:tblPrEx>
                <w:tblCellMar>
                  <w:top w:w="0" w:type="dxa"/>
                  <w:left w:w="108" w:type="dxa"/>
                  <w:bottom w:w="0" w:type="dxa"/>
                  <w:right w:w="108" w:type="dxa"/>
                </w:tblCellMar>
              </w:tblPrEx>
              <w:trPr>
                <w:trHeight w:val="360" w:hRule="atLeast"/>
              </w:trPr>
              <w:tc>
                <w:tcPr>
                  <w:tcW w:w="3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Theme="majorEastAsia"/>
                      <w:color w:val="000000"/>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ascii="Times New Roman" w:hAnsi="Times New Roman" w:eastAsiaTheme="majorEastAsia"/>
                      <w:color w:val="000000"/>
                      <w:kern w:val="0"/>
                      <w:szCs w:val="21"/>
                    </w:rPr>
                    <w:t>1-</w:t>
                  </w:r>
                  <w:r>
                    <w:rPr>
                      <w:rFonts w:hint="eastAsia" w:ascii="Times New Roman" w:hAnsi="Times New Roman" w:eastAsiaTheme="majorEastAsia"/>
                      <w:color w:val="000000"/>
                      <w:kern w:val="0"/>
                      <w:szCs w:val="21"/>
                    </w:rPr>
                    <w:t>3</w:t>
                  </w:r>
                  <w:r>
                    <w:rPr>
                      <w:rFonts w:ascii="Times New Roman" w:hAnsi="Times New Roman" w:eastAsiaTheme="majorEastAsia"/>
                      <w:color w:val="000000"/>
                      <w:kern w:val="0"/>
                      <w:szCs w:val="21"/>
                    </w:rPr>
                    <w:t>月</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hint="eastAsia" w:ascii="Times New Roman" w:hAnsi="Times New Roman" w:eastAsiaTheme="majorEastAsia"/>
                      <w:color w:val="000000"/>
                      <w:kern w:val="0"/>
                      <w:szCs w:val="21"/>
                    </w:rPr>
                    <w:t>3</w:t>
                  </w:r>
                  <w:r>
                    <w:rPr>
                      <w:rFonts w:ascii="Times New Roman" w:hAnsi="Times New Roman" w:eastAsiaTheme="majorEastAsia"/>
                      <w:color w:val="000000"/>
                      <w:kern w:val="0"/>
                      <w:szCs w:val="21"/>
                    </w:rPr>
                    <w:t>-</w:t>
                  </w:r>
                  <w:r>
                    <w:rPr>
                      <w:rFonts w:hint="eastAsia" w:ascii="Times New Roman" w:hAnsi="Times New Roman" w:eastAsiaTheme="majorEastAsia"/>
                      <w:color w:val="000000"/>
                      <w:kern w:val="0"/>
                      <w:szCs w:val="21"/>
                    </w:rPr>
                    <w:t>7</w:t>
                  </w:r>
                  <w:r>
                    <w:rPr>
                      <w:rFonts w:ascii="Times New Roman" w:hAnsi="Times New Roman" w:eastAsiaTheme="majorEastAsia"/>
                      <w:color w:val="000000"/>
                      <w:kern w:val="0"/>
                      <w:szCs w:val="21"/>
                    </w:rPr>
                    <w:t>月</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hint="eastAsia" w:ascii="Times New Roman" w:hAnsi="Times New Roman" w:eastAsiaTheme="majorEastAsia"/>
                      <w:color w:val="000000"/>
                      <w:kern w:val="0"/>
                      <w:szCs w:val="21"/>
                    </w:rPr>
                    <w:t>8</w:t>
                  </w:r>
                  <w:r>
                    <w:rPr>
                      <w:rFonts w:ascii="Times New Roman" w:hAnsi="Times New Roman" w:eastAsiaTheme="majorEastAsia"/>
                      <w:color w:val="000000"/>
                      <w:kern w:val="0"/>
                      <w:szCs w:val="21"/>
                    </w:rPr>
                    <w:t>-12月</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ascii="Times New Roman" w:hAnsi="Times New Roman" w:eastAsiaTheme="majorEastAsia"/>
                      <w:color w:val="000000"/>
                      <w:kern w:val="0"/>
                      <w:szCs w:val="21"/>
                    </w:rPr>
                    <w:t>1-4月</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ascii="Times New Roman" w:hAnsi="Times New Roman" w:eastAsiaTheme="majorEastAsia"/>
                      <w:color w:val="000000"/>
                      <w:kern w:val="0"/>
                      <w:szCs w:val="21"/>
                    </w:rPr>
                    <w:t>5-8月</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ascii="Times New Roman" w:hAnsi="Times New Roman" w:eastAsiaTheme="majorEastAsia"/>
                      <w:color w:val="000000"/>
                      <w:kern w:val="0"/>
                      <w:szCs w:val="21"/>
                    </w:rPr>
                    <w:t>9-12月</w:t>
                  </w:r>
                </w:p>
              </w:tc>
            </w:tr>
            <w:tr>
              <w:tblPrEx>
                <w:tblCellMar>
                  <w:top w:w="0" w:type="dxa"/>
                  <w:left w:w="108" w:type="dxa"/>
                  <w:bottom w:w="0" w:type="dxa"/>
                  <w:right w:w="108" w:type="dxa"/>
                </w:tblCellMar>
              </w:tblPrEx>
              <w:trPr>
                <w:trHeight w:val="360" w:hRule="atLeast"/>
              </w:trPr>
              <w:tc>
                <w:tcPr>
                  <w:tcW w:w="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000000"/>
                      <w:kern w:val="0"/>
                      <w:szCs w:val="21"/>
                    </w:rPr>
                  </w:pPr>
                  <w:r>
                    <w:rPr>
                      <w:rFonts w:ascii="Times New Roman" w:hAnsi="Times New Roman" w:eastAsiaTheme="majorEastAsia"/>
                      <w:color w:val="000000"/>
                      <w:kern w:val="0"/>
                      <w:szCs w:val="21"/>
                    </w:rPr>
                    <w:t>准备</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ascii="Times New Roman" w:hAnsi="Times New Roman" w:eastAsiaTheme="majorEastAsia"/>
                      <w:color w:val="000000"/>
                      <w:kern w:val="0"/>
                      <w:szCs w:val="21"/>
                    </w:rPr>
                    <w:t>1.课题方案制定</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r>
            <w:tr>
              <w:tblPrEx>
                <w:tblCellMar>
                  <w:top w:w="0" w:type="dxa"/>
                  <w:left w:w="108" w:type="dxa"/>
                  <w:bottom w:w="0" w:type="dxa"/>
                  <w:right w:w="108" w:type="dxa"/>
                </w:tblCellMar>
              </w:tblPrEx>
              <w:trPr>
                <w:trHeight w:val="360" w:hRule="atLeast"/>
              </w:trPr>
              <w:tc>
                <w:tcPr>
                  <w:tcW w:w="83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Theme="majorEastAsia"/>
                      <w:color w:val="000000"/>
                      <w:kern w:val="0"/>
                      <w:szCs w:val="21"/>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ascii="Times New Roman" w:hAnsi="Times New Roman" w:eastAsiaTheme="majorEastAsia"/>
                      <w:color w:val="000000"/>
                      <w:kern w:val="0"/>
                      <w:szCs w:val="21"/>
                    </w:rPr>
                    <w:t>2.</w:t>
                  </w:r>
                  <w:r>
                    <w:rPr>
                      <w:rFonts w:hint="eastAsia" w:ascii="Times New Roman" w:hAnsi="Times New Roman" w:eastAsiaTheme="majorEastAsia"/>
                      <w:color w:val="000000"/>
                      <w:kern w:val="0"/>
                      <w:szCs w:val="21"/>
                    </w:rPr>
                    <w:t>前期调研</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r>
            <w:tr>
              <w:tblPrEx>
                <w:tblCellMar>
                  <w:top w:w="0" w:type="dxa"/>
                  <w:left w:w="108" w:type="dxa"/>
                  <w:bottom w:w="0" w:type="dxa"/>
                  <w:right w:w="108" w:type="dxa"/>
                </w:tblCellMar>
              </w:tblPrEx>
              <w:trPr>
                <w:trHeight w:val="360" w:hRule="atLeast"/>
              </w:trPr>
              <w:tc>
                <w:tcPr>
                  <w:tcW w:w="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000000"/>
                      <w:kern w:val="0"/>
                      <w:szCs w:val="21"/>
                    </w:rPr>
                  </w:pPr>
                  <w:r>
                    <w:rPr>
                      <w:rFonts w:ascii="Times New Roman" w:hAnsi="Times New Roman" w:eastAsiaTheme="majorEastAsia"/>
                      <w:color w:val="000000"/>
                      <w:kern w:val="0"/>
                      <w:szCs w:val="21"/>
                    </w:rPr>
                    <w:t>课程设置</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hint="eastAsia" w:ascii="Times New Roman" w:hAnsi="Times New Roman" w:eastAsiaTheme="majorEastAsia"/>
                      <w:color w:val="000000"/>
                      <w:kern w:val="0"/>
                      <w:szCs w:val="21"/>
                    </w:rPr>
                    <w:t>3</w:t>
                  </w:r>
                  <w:r>
                    <w:rPr>
                      <w:rFonts w:ascii="Times New Roman" w:hAnsi="Times New Roman" w:eastAsiaTheme="majorEastAsia"/>
                      <w:color w:val="000000"/>
                      <w:kern w:val="0"/>
                      <w:szCs w:val="21"/>
                    </w:rPr>
                    <w:t>.专业核心课程群设置</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r>
            <w:tr>
              <w:tblPrEx>
                <w:tblCellMar>
                  <w:top w:w="0" w:type="dxa"/>
                  <w:left w:w="108" w:type="dxa"/>
                  <w:bottom w:w="0" w:type="dxa"/>
                  <w:right w:w="108" w:type="dxa"/>
                </w:tblCellMar>
              </w:tblPrEx>
              <w:trPr>
                <w:trHeight w:val="360" w:hRule="atLeast"/>
              </w:trPr>
              <w:tc>
                <w:tcPr>
                  <w:tcW w:w="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000000"/>
                      <w:kern w:val="0"/>
                      <w:szCs w:val="21"/>
                    </w:rPr>
                  </w:pPr>
                  <w:r>
                    <w:rPr>
                      <w:rFonts w:ascii="Times New Roman" w:hAnsi="Times New Roman" w:eastAsiaTheme="majorEastAsia"/>
                      <w:color w:val="000000"/>
                      <w:kern w:val="0"/>
                      <w:szCs w:val="21"/>
                    </w:rPr>
                    <w:t>团队建设</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hint="eastAsia" w:ascii="Times New Roman" w:hAnsi="Times New Roman" w:eastAsiaTheme="majorEastAsia"/>
                      <w:color w:val="000000"/>
                      <w:kern w:val="0"/>
                      <w:szCs w:val="21"/>
                    </w:rPr>
                    <w:t>4</w:t>
                  </w:r>
                  <w:r>
                    <w:rPr>
                      <w:rFonts w:ascii="Times New Roman" w:hAnsi="Times New Roman" w:eastAsiaTheme="majorEastAsia"/>
                      <w:color w:val="000000"/>
                      <w:kern w:val="0"/>
                      <w:szCs w:val="21"/>
                    </w:rPr>
                    <w:t>.教学师资团队建设</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r>
            <w:tr>
              <w:tblPrEx>
                <w:tblCellMar>
                  <w:top w:w="0" w:type="dxa"/>
                  <w:left w:w="108" w:type="dxa"/>
                  <w:bottom w:w="0" w:type="dxa"/>
                  <w:right w:w="108" w:type="dxa"/>
                </w:tblCellMar>
              </w:tblPrEx>
              <w:trPr>
                <w:trHeight w:val="360" w:hRule="atLeast"/>
              </w:trPr>
              <w:tc>
                <w:tcPr>
                  <w:tcW w:w="83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Theme="majorEastAsia"/>
                      <w:color w:val="000000"/>
                      <w:kern w:val="0"/>
                      <w:szCs w:val="21"/>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hint="eastAsia" w:ascii="Times New Roman" w:hAnsi="Times New Roman" w:eastAsiaTheme="majorEastAsia"/>
                      <w:color w:val="000000"/>
                      <w:kern w:val="0"/>
                      <w:szCs w:val="21"/>
                    </w:rPr>
                    <w:t>5</w:t>
                  </w:r>
                  <w:r>
                    <w:rPr>
                      <w:rFonts w:ascii="Times New Roman" w:hAnsi="Times New Roman" w:eastAsiaTheme="majorEastAsia"/>
                      <w:color w:val="000000"/>
                      <w:kern w:val="0"/>
                      <w:szCs w:val="21"/>
                    </w:rPr>
                    <w:t>.学生团队建设</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r>
            <w:tr>
              <w:tblPrEx>
                <w:tblCellMar>
                  <w:top w:w="0" w:type="dxa"/>
                  <w:left w:w="108" w:type="dxa"/>
                  <w:bottom w:w="0" w:type="dxa"/>
                  <w:right w:w="108" w:type="dxa"/>
                </w:tblCellMar>
              </w:tblPrEx>
              <w:trPr>
                <w:trHeight w:val="360" w:hRule="atLeast"/>
              </w:trPr>
              <w:tc>
                <w:tcPr>
                  <w:tcW w:w="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000000"/>
                      <w:kern w:val="0"/>
                      <w:szCs w:val="21"/>
                    </w:rPr>
                  </w:pPr>
                  <w:r>
                    <w:rPr>
                      <w:rFonts w:hint="eastAsia" w:ascii="Times New Roman" w:hAnsi="Times New Roman" w:eastAsiaTheme="majorEastAsia"/>
                      <w:color w:val="000000"/>
                      <w:kern w:val="0"/>
                      <w:szCs w:val="21"/>
                    </w:rPr>
                    <w:t>课程实施</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hint="eastAsia" w:ascii="Times New Roman" w:hAnsi="Times New Roman" w:eastAsiaTheme="majorEastAsia"/>
                      <w:color w:val="000000"/>
                      <w:kern w:val="0"/>
                      <w:szCs w:val="21"/>
                    </w:rPr>
                    <w:t>6</w:t>
                  </w:r>
                  <w:r>
                    <w:rPr>
                      <w:rFonts w:ascii="Times New Roman" w:hAnsi="Times New Roman" w:eastAsiaTheme="majorEastAsia"/>
                      <w:color w:val="000000"/>
                      <w:kern w:val="0"/>
                      <w:szCs w:val="21"/>
                    </w:rPr>
                    <w:t>.</w:t>
                  </w:r>
                  <w:r>
                    <w:rPr>
                      <w:rFonts w:hint="eastAsia" w:ascii="Times New Roman" w:hAnsi="Times New Roman" w:eastAsiaTheme="majorEastAsia"/>
                      <w:color w:val="000000"/>
                      <w:kern w:val="0"/>
                      <w:szCs w:val="21"/>
                    </w:rPr>
                    <w:t>进行核心课程的教学实践</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r>
                    <w:rPr>
                      <w:rFonts w:ascii="Times New Roman" w:hAnsi="Times New Roman" w:eastAsiaTheme="majorEastAsia"/>
                      <w:color w:val="FF0000"/>
                      <w:kern w:val="0"/>
                      <w:szCs w:val="21"/>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r>
            <w:tr>
              <w:tblPrEx>
                <w:tblCellMar>
                  <w:top w:w="0" w:type="dxa"/>
                  <w:left w:w="108" w:type="dxa"/>
                  <w:bottom w:w="0" w:type="dxa"/>
                  <w:right w:w="108" w:type="dxa"/>
                </w:tblCellMar>
              </w:tblPrEx>
              <w:trPr>
                <w:trHeight w:val="360" w:hRule="atLeast"/>
              </w:trPr>
              <w:tc>
                <w:tcPr>
                  <w:tcW w:w="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000000"/>
                      <w:kern w:val="0"/>
                      <w:szCs w:val="21"/>
                    </w:rPr>
                  </w:pPr>
                  <w:r>
                    <w:rPr>
                      <w:rFonts w:ascii="Times New Roman" w:hAnsi="Times New Roman" w:eastAsiaTheme="majorEastAsia"/>
                      <w:color w:val="000000"/>
                      <w:kern w:val="0"/>
                      <w:szCs w:val="21"/>
                    </w:rPr>
                    <w:t>教学</w:t>
                  </w:r>
                  <w:r>
                    <w:rPr>
                      <w:rFonts w:hint="eastAsia" w:ascii="Times New Roman" w:hAnsi="Times New Roman" w:eastAsiaTheme="majorEastAsia"/>
                      <w:color w:val="000000"/>
                      <w:kern w:val="0"/>
                      <w:szCs w:val="21"/>
                    </w:rPr>
                    <w:t>成</w:t>
                  </w:r>
                  <w:r>
                    <w:rPr>
                      <w:rFonts w:ascii="Times New Roman" w:hAnsi="Times New Roman" w:eastAsiaTheme="majorEastAsia"/>
                      <w:color w:val="000000"/>
                      <w:kern w:val="0"/>
                      <w:szCs w:val="21"/>
                    </w:rPr>
                    <w:t>果</w:t>
                  </w:r>
                  <w:r>
                    <w:rPr>
                      <w:rFonts w:hint="eastAsia" w:ascii="Times New Roman" w:hAnsi="Times New Roman" w:eastAsiaTheme="majorEastAsia"/>
                      <w:color w:val="000000"/>
                      <w:kern w:val="0"/>
                      <w:szCs w:val="21"/>
                    </w:rPr>
                    <w:t>转化</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hint="eastAsia" w:ascii="Times New Roman" w:hAnsi="Times New Roman" w:eastAsiaTheme="majorEastAsia"/>
                      <w:color w:val="000000"/>
                      <w:kern w:val="0"/>
                      <w:szCs w:val="21"/>
                    </w:rPr>
                    <w:t>7</w:t>
                  </w:r>
                  <w:r>
                    <w:rPr>
                      <w:rFonts w:ascii="Times New Roman" w:hAnsi="Times New Roman" w:eastAsiaTheme="majorEastAsia"/>
                      <w:color w:val="000000"/>
                      <w:kern w:val="0"/>
                      <w:szCs w:val="21"/>
                    </w:rPr>
                    <w:t>.</w:t>
                  </w:r>
                  <w:r>
                    <w:rPr>
                      <w:rFonts w:hint="eastAsia" w:ascii="Times New Roman" w:hAnsi="Times New Roman" w:eastAsiaTheme="majorEastAsia"/>
                      <w:color w:val="000000"/>
                      <w:kern w:val="0"/>
                      <w:szCs w:val="21"/>
                    </w:rPr>
                    <w:t>专利申报、学科竞赛</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ascii="Times New Roman" w:hAnsi="Times New Roman" w:eastAsiaTheme="majorEastAsia"/>
                      <w:color w:val="FF0000"/>
                      <w:kern w:val="0"/>
                      <w:szCs w:val="21"/>
                    </w:rPr>
                    <w:t xml:space="preserve"> </w:t>
                  </w:r>
                  <w:r>
                    <w:rPr>
                      <w:rFonts w:ascii="Times New Roman" w:hAnsi="Times New Roman" w:eastAsiaTheme="majorEastAsia"/>
                      <w:color w:val="FF0000"/>
                      <w:kern w:val="0"/>
                      <w:szCs w:val="21"/>
                    </w:rPr>
                    <w:t>　</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r>
            <w:tr>
              <w:tblPrEx>
                <w:tblCellMar>
                  <w:top w:w="0" w:type="dxa"/>
                  <w:left w:w="108" w:type="dxa"/>
                  <w:bottom w:w="0" w:type="dxa"/>
                  <w:right w:w="108" w:type="dxa"/>
                </w:tblCellMar>
              </w:tblPrEx>
              <w:trPr>
                <w:trHeight w:val="360" w:hRule="atLeast"/>
              </w:trPr>
              <w:tc>
                <w:tcPr>
                  <w:tcW w:w="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000000"/>
                      <w:kern w:val="0"/>
                      <w:szCs w:val="21"/>
                    </w:rPr>
                  </w:pPr>
                  <w:r>
                    <w:rPr>
                      <w:rFonts w:ascii="Times New Roman" w:hAnsi="Times New Roman" w:eastAsiaTheme="majorEastAsia"/>
                      <w:color w:val="000000"/>
                      <w:kern w:val="0"/>
                      <w:szCs w:val="21"/>
                    </w:rPr>
                    <w:t>写作阶段</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hint="eastAsia" w:ascii="Times New Roman" w:hAnsi="Times New Roman" w:eastAsiaTheme="majorEastAsia"/>
                      <w:color w:val="000000"/>
                      <w:kern w:val="0"/>
                      <w:szCs w:val="21"/>
                    </w:rPr>
                    <w:t>8</w:t>
                  </w:r>
                  <w:r>
                    <w:rPr>
                      <w:rFonts w:ascii="Times New Roman" w:hAnsi="Times New Roman" w:eastAsiaTheme="majorEastAsia"/>
                      <w:color w:val="000000"/>
                      <w:kern w:val="0"/>
                      <w:szCs w:val="21"/>
                    </w:rPr>
                    <w:t>.论文写作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r>
            <w:tr>
              <w:tblPrEx>
                <w:tblCellMar>
                  <w:top w:w="0" w:type="dxa"/>
                  <w:left w:w="108" w:type="dxa"/>
                  <w:bottom w:w="0" w:type="dxa"/>
                  <w:right w:w="108" w:type="dxa"/>
                </w:tblCellMar>
              </w:tblPrEx>
              <w:trPr>
                <w:trHeight w:val="360" w:hRule="atLeast"/>
              </w:trPr>
              <w:tc>
                <w:tcPr>
                  <w:tcW w:w="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000000"/>
                      <w:kern w:val="0"/>
                      <w:szCs w:val="21"/>
                    </w:rPr>
                  </w:pPr>
                  <w:r>
                    <w:rPr>
                      <w:rFonts w:ascii="Times New Roman" w:hAnsi="Times New Roman" w:eastAsiaTheme="majorEastAsia"/>
                      <w:color w:val="000000"/>
                      <w:kern w:val="0"/>
                      <w:szCs w:val="21"/>
                    </w:rPr>
                    <w:t>结题阶段</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hint="eastAsia" w:ascii="Times New Roman" w:hAnsi="Times New Roman" w:eastAsiaTheme="majorEastAsia"/>
                      <w:color w:val="000000"/>
                      <w:kern w:val="0"/>
                      <w:szCs w:val="21"/>
                    </w:rPr>
                    <w:t>9</w:t>
                  </w:r>
                  <w:r>
                    <w:rPr>
                      <w:rFonts w:ascii="Times New Roman" w:hAnsi="Times New Roman" w:eastAsiaTheme="majorEastAsia"/>
                      <w:color w:val="000000"/>
                      <w:kern w:val="0"/>
                      <w:szCs w:val="21"/>
                    </w:rPr>
                    <w:t>.结题材料准备</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r>
            <w:tr>
              <w:tblPrEx>
                <w:tblCellMar>
                  <w:top w:w="0" w:type="dxa"/>
                  <w:left w:w="108" w:type="dxa"/>
                  <w:bottom w:w="0" w:type="dxa"/>
                  <w:right w:w="108" w:type="dxa"/>
                </w:tblCellMar>
              </w:tblPrEx>
              <w:trPr>
                <w:trHeight w:val="360" w:hRule="atLeast"/>
              </w:trPr>
              <w:tc>
                <w:tcPr>
                  <w:tcW w:w="83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Theme="majorEastAsia"/>
                      <w:color w:val="000000"/>
                      <w:kern w:val="0"/>
                      <w:szCs w:val="21"/>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Theme="majorEastAsia"/>
                      <w:color w:val="000000"/>
                      <w:kern w:val="0"/>
                      <w:szCs w:val="21"/>
                    </w:rPr>
                  </w:pPr>
                  <w:r>
                    <w:rPr>
                      <w:rFonts w:ascii="Times New Roman" w:hAnsi="Times New Roman" w:eastAsiaTheme="majorEastAsia"/>
                      <w:color w:val="000000"/>
                      <w:kern w:val="0"/>
                      <w:szCs w:val="21"/>
                    </w:rPr>
                    <w:t>1</w:t>
                  </w:r>
                  <w:r>
                    <w:rPr>
                      <w:rFonts w:hint="eastAsia" w:ascii="Times New Roman" w:hAnsi="Times New Roman" w:eastAsiaTheme="majorEastAsia"/>
                      <w:color w:val="000000"/>
                      <w:kern w:val="0"/>
                      <w:szCs w:val="21"/>
                    </w:rPr>
                    <w:t>0</w:t>
                  </w:r>
                  <w:r>
                    <w:rPr>
                      <w:rFonts w:ascii="Times New Roman" w:hAnsi="Times New Roman" w:eastAsiaTheme="majorEastAsia"/>
                      <w:color w:val="000000"/>
                      <w:kern w:val="0"/>
                      <w:szCs w:val="21"/>
                    </w:rPr>
                    <w:t>.课题结题论证</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ascii="Times New Roman" w:hAnsi="Times New Roman" w:eastAsiaTheme="majorEastAsia"/>
                      <w:color w:val="FF0000"/>
                      <w:kern w:val="0"/>
                      <w:szCs w:val="21"/>
                    </w:rPr>
                    <w:t>　</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heme="majorEastAsia"/>
                      <w:color w:val="FF0000"/>
                      <w:kern w:val="0"/>
                      <w:szCs w:val="21"/>
                    </w:rPr>
                  </w:pPr>
                  <w:r>
                    <w:rPr>
                      <w:rFonts w:hint="eastAsia"/>
                      <w:sz w:val="24"/>
                      <w:szCs w:val="24"/>
                    </w:rPr>
                    <w:sym w:font="Wingdings" w:char="F0FC"/>
                  </w:r>
                </w:p>
              </w:tc>
            </w:tr>
          </w:tbl>
          <w:p>
            <w:pPr>
              <w:spacing w:line="360" w:lineRule="auto"/>
              <w:rPr>
                <w:rFonts w:asciiTheme="minorEastAsia" w:hAnsiTheme="minorEastAsia" w:eastAsiaTheme="minor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7" w:hRule="atLeast"/>
        </w:trPr>
        <w:tc>
          <w:tcPr>
            <w:tcW w:w="8505" w:type="dxa"/>
            <w:tcBorders>
              <w:top w:val="single" w:color="000000" w:sz="2" w:space="0"/>
              <w:left w:val="single" w:color="000000" w:sz="2" w:space="0"/>
              <w:bottom w:val="single" w:color="000000" w:sz="2" w:space="0"/>
              <w:right w:val="single" w:color="000000" w:sz="2" w:space="0"/>
            </w:tcBorders>
          </w:tcPr>
          <w:p>
            <w:pPr>
              <w:widowControl/>
              <w:spacing w:line="360" w:lineRule="auto"/>
              <w:textAlignment w:val="baseline"/>
              <w:rPr>
                <w:rFonts w:eastAsia="仿宋_GB2312"/>
              </w:rPr>
            </w:pPr>
            <w:r>
              <w:rPr>
                <w:rFonts w:eastAsia="仿宋_GB2312"/>
              </w:rPr>
              <w:t>3.</w:t>
            </w:r>
            <w:r>
              <w:rPr>
                <w:rFonts w:hint="eastAsia" w:eastAsia="仿宋_GB2312"/>
              </w:rPr>
              <w:t>项目预期的成果和效果（包括成果形式、实施范围、受益学生数等）</w:t>
            </w:r>
          </w:p>
          <w:p>
            <w:pPr>
              <w:widowControl/>
              <w:textAlignment w:val="baseline"/>
              <w:rPr>
                <w:rFonts w:ascii="仿宋_GB2312" w:hAnsi="宋体" w:eastAsia="仿宋_GB2312"/>
                <w:bCs/>
                <w:color w:val="000000"/>
                <w:szCs w:val="21"/>
              </w:rPr>
            </w:pPr>
            <w:r>
              <w:rPr>
                <w:rFonts w:hint="eastAsia" w:ascii="仿宋_GB2312" w:hAnsi="宋体" w:eastAsia="仿宋_GB2312"/>
                <w:bCs/>
                <w:color w:val="000000"/>
                <w:szCs w:val="21"/>
              </w:rPr>
              <w:t>一、课题预期的成果形式：</w:t>
            </w:r>
            <w:r>
              <w:rPr>
                <w:rFonts w:hint="eastAsia" w:asciiTheme="minorEastAsia" w:hAnsiTheme="minorEastAsia" w:eastAsiaTheme="minorEastAsia"/>
                <w:bCs/>
                <w:color w:val="000000"/>
                <w:szCs w:val="21"/>
              </w:rPr>
              <w:t>发表1篇论文、申报5项实用新型专利</w:t>
            </w:r>
          </w:p>
          <w:p>
            <w:pPr>
              <w:spacing w:beforeLines="50"/>
              <w:rPr>
                <w:rFonts w:ascii="仿宋_GB2312" w:eastAsia="仿宋_GB2312"/>
                <w:bCs/>
                <w:color w:val="000000"/>
                <w:szCs w:val="21"/>
              </w:rPr>
            </w:pPr>
            <w:r>
              <w:rPr>
                <w:rFonts w:hint="eastAsia" w:ascii="仿宋_GB2312" w:eastAsia="仿宋_GB2312"/>
                <w:bCs/>
                <w:color w:val="000000"/>
                <w:szCs w:val="21"/>
              </w:rPr>
              <w:t>二、课题预期的效益：</w:t>
            </w:r>
          </w:p>
          <w:p>
            <w:pPr>
              <w:spacing w:line="360" w:lineRule="auto"/>
              <w:ind w:firstLine="315" w:firstLineChars="150"/>
              <w:rPr>
                <w:bCs/>
                <w:color w:val="000000"/>
                <w:szCs w:val="21"/>
              </w:rPr>
            </w:pPr>
            <w:r>
              <w:rPr>
                <w:rFonts w:hint="eastAsia" w:ascii="宋体" w:hAnsi="宋体"/>
                <w:bCs/>
                <w:color w:val="000000"/>
                <w:szCs w:val="21"/>
              </w:rPr>
              <w:t>（1）本项目的研究成果将直接运用于本学院产品设计专业核心课程的教学，使课程的教学内容、教学模式在满足社会需求的前提下，顺应应用型本科发展的要求。将专利知识、学科竞赛、实际设计项目引入课堂教学，使学生掌握行业标准、了解行业动态，在设计实践中积累经验，培养符合社会需求的综合设计能力。</w:t>
            </w:r>
          </w:p>
          <w:p>
            <w:pPr>
              <w:spacing w:line="360" w:lineRule="auto"/>
              <w:ind w:firstLine="315" w:firstLineChars="150"/>
              <w:rPr>
                <w:rFonts w:ascii="宋体" w:hAnsi="宋体"/>
                <w:bCs/>
                <w:color w:val="000000"/>
                <w:szCs w:val="21"/>
              </w:rPr>
            </w:pPr>
            <w:r>
              <w:rPr>
                <w:rFonts w:hint="eastAsia" w:ascii="宋体" w:hAnsi="宋体"/>
                <w:bCs/>
                <w:color w:val="000000"/>
                <w:szCs w:val="21"/>
              </w:rPr>
              <w:t>（2）实施范围主要是</w:t>
            </w:r>
            <w:r>
              <w:rPr>
                <w:rFonts w:hint="eastAsia" w:ascii="宋体" w:hAnsi="宋体"/>
                <w:color w:val="000000"/>
                <w:szCs w:val="21"/>
              </w:rPr>
              <w:t>产品品牌开发与推广</w:t>
            </w:r>
            <w:r>
              <w:rPr>
                <w:rFonts w:hint="eastAsia"/>
                <w:bCs/>
                <w:color w:val="000000"/>
                <w:szCs w:val="21"/>
              </w:rPr>
              <w:t>、</w:t>
            </w:r>
            <w:r>
              <w:rPr>
                <w:rFonts w:hint="eastAsia" w:ascii="宋体" w:hAnsi="宋体"/>
                <w:bCs/>
                <w:color w:val="000000"/>
                <w:szCs w:val="21"/>
              </w:rPr>
              <w:t>公共产品设计、文创产品设计、交互设计四门核心课程。主要受益学生为产品设计专业大三大四全体学生，共计100人。</w:t>
            </w:r>
          </w:p>
          <w:p>
            <w:pPr>
              <w:spacing w:line="360" w:lineRule="auto"/>
              <w:ind w:firstLine="315" w:firstLineChars="1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8505" w:type="dxa"/>
            <w:tcBorders>
              <w:top w:val="single" w:color="000000" w:sz="2" w:space="0"/>
              <w:left w:val="single" w:color="000000" w:sz="2" w:space="0"/>
              <w:bottom w:val="single" w:color="000000" w:sz="2" w:space="0"/>
              <w:right w:val="single" w:color="000000" w:sz="2" w:space="0"/>
            </w:tcBorders>
          </w:tcPr>
          <w:p>
            <w:pPr>
              <w:widowControl/>
              <w:spacing w:line="360" w:lineRule="auto"/>
              <w:textAlignment w:val="baseline"/>
              <w:rPr>
                <w:rFonts w:eastAsia="仿宋_GB2312"/>
              </w:rPr>
            </w:pPr>
            <w:r>
              <w:rPr>
                <w:rFonts w:eastAsia="仿宋_GB2312"/>
              </w:rPr>
              <w:t>4.</w:t>
            </w:r>
            <w:r>
              <w:rPr>
                <w:rFonts w:hint="eastAsia" w:eastAsia="仿宋_GB2312"/>
              </w:rPr>
              <w:t xml:space="preserve">本项目的特色与创新之处 </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（1）特色：</w:t>
            </w:r>
          </w:p>
          <w:p>
            <w:pPr>
              <w:spacing w:line="360" w:lineRule="auto"/>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以OBE教育理念指导教学的各个环节，人才培养模式从以学科为中心培养人才转变为以社会需求和学生为中心培养人才。课程教学所关注的重点从教师的教学过程转变为学生的学习结果。</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（2）创新点：</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 xml:space="preserve">   将核心课程群调整开课顺序，并分阶段实施，并将专利知识和设计实践项目引入课堂教学中，以量化指标的形式评价教学成果。使原本随意模糊的授课过程以清晰可操作的步骤固定下来，让教学成果形成从作业到作品，从作品到产品、从产品到商品、从商品到品牌的转换。</w:t>
            </w:r>
          </w:p>
          <w:p>
            <w:pPr>
              <w:spacing w:line="360" w:lineRule="auto"/>
              <w:rPr>
                <w:bCs/>
                <w:color w:val="000000"/>
                <w:szCs w:val="21"/>
              </w:rPr>
            </w:pPr>
          </w:p>
          <w:p>
            <w:pPr>
              <w:spacing w:line="360" w:lineRule="auto"/>
              <w:rPr>
                <w:bCs/>
                <w:color w:val="000000"/>
                <w:szCs w:val="21"/>
              </w:rPr>
            </w:pPr>
          </w:p>
          <w:p>
            <w:pPr>
              <w:spacing w:line="360" w:lineRule="auto"/>
              <w:rPr>
                <w:bCs/>
                <w:color w:val="000000"/>
                <w:szCs w:val="21"/>
              </w:rPr>
            </w:pPr>
          </w:p>
          <w:p>
            <w:pPr>
              <w:spacing w:line="360" w:lineRule="auto"/>
              <w:rPr>
                <w:bCs/>
                <w:color w:val="000000"/>
                <w:szCs w:val="21"/>
              </w:rPr>
            </w:pPr>
          </w:p>
          <w:p>
            <w:pPr>
              <w:spacing w:line="360" w:lineRule="auto"/>
              <w:rPr>
                <w:bCs/>
                <w:color w:val="000000"/>
                <w:szCs w:val="21"/>
              </w:rPr>
            </w:pPr>
          </w:p>
          <w:p>
            <w:pPr>
              <w:spacing w:line="360" w:lineRule="auto"/>
              <w:rPr>
                <w:bCs/>
                <w:color w:val="000000"/>
                <w:szCs w:val="21"/>
              </w:rPr>
            </w:pPr>
          </w:p>
          <w:p>
            <w:pPr>
              <w:spacing w:line="360" w:lineRule="auto"/>
              <w:rPr>
                <w:bCs/>
                <w:color w:val="000000"/>
                <w:szCs w:val="21"/>
              </w:rPr>
            </w:pPr>
          </w:p>
          <w:p>
            <w:pPr>
              <w:spacing w:line="360" w:lineRule="auto"/>
              <w:rPr>
                <w:bCs/>
                <w:color w:val="000000"/>
                <w:szCs w:val="21"/>
              </w:rPr>
            </w:pPr>
          </w:p>
        </w:tc>
      </w:tr>
    </w:tbl>
    <w:p>
      <w:pPr>
        <w:widowControl/>
        <w:spacing w:line="360" w:lineRule="auto"/>
        <w:ind w:firstLine="140" w:firstLineChars="50"/>
        <w:textAlignment w:val="baseline"/>
        <w:rPr>
          <w:rFonts w:eastAsia="仿宋_GB2312"/>
          <w:sz w:val="28"/>
        </w:rPr>
      </w:pPr>
    </w:p>
    <w:p>
      <w:pPr>
        <w:widowControl/>
        <w:spacing w:line="360" w:lineRule="auto"/>
        <w:ind w:firstLine="140" w:firstLineChars="50"/>
        <w:textAlignment w:val="baseline"/>
      </w:pPr>
      <w:r>
        <w:rPr>
          <w:rFonts w:hint="eastAsia" w:eastAsia="仿宋_GB2312"/>
          <w:sz w:val="28"/>
        </w:rPr>
        <w:t>四、教学改革基础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spacing w:line="360" w:lineRule="auto"/>
              <w:textAlignment w:val="baseline"/>
              <w:rPr>
                <w:rFonts w:eastAsia="仿宋_GB2312"/>
              </w:rPr>
            </w:pPr>
            <w:r>
              <w:rPr>
                <w:rFonts w:eastAsia="仿宋_GB2312"/>
              </w:rPr>
              <w:t>1.</w:t>
            </w:r>
            <w:r>
              <w:rPr>
                <w:rFonts w:hint="eastAsia" w:eastAsia="仿宋_GB2312"/>
              </w:rPr>
              <w:t>与本项目有关的教学改革工作积累和已取得的教学改革工作成绩</w:t>
            </w:r>
          </w:p>
          <w:p>
            <w:pPr>
              <w:spacing w:line="360" w:lineRule="auto"/>
              <w:ind w:firstLine="315" w:firstLineChars="15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2015年 浙江省高等教育课堂教学改革项目：UI设计教学方法与课内外教学互动创新模式的探索</w:t>
            </w:r>
          </w:p>
          <w:p>
            <w:pPr>
              <w:spacing w:line="360" w:lineRule="auto"/>
              <w:ind w:firstLine="315" w:firstLineChars="150"/>
              <w:rPr>
                <w:rFonts w:asciiTheme="minorEastAsia" w:hAnsiTheme="minorEastAsia" w:eastAsiaTheme="minorEastAsia"/>
                <w:spacing w:val="-8"/>
                <w:szCs w:val="21"/>
              </w:rPr>
            </w:pPr>
            <w:r>
              <w:rPr>
                <w:rFonts w:hint="eastAsia" w:asciiTheme="minorEastAsia" w:hAnsiTheme="minorEastAsia" w:eastAsiaTheme="minorEastAsia"/>
                <w:bCs/>
                <w:color w:val="000000"/>
                <w:szCs w:val="21"/>
              </w:rPr>
              <w:t xml:space="preserve">2018年 </w:t>
            </w:r>
            <w:r>
              <w:rPr>
                <w:rFonts w:hint="eastAsia" w:asciiTheme="minorEastAsia" w:hAnsiTheme="minorEastAsia" w:eastAsiaTheme="minorEastAsia"/>
                <w:spacing w:val="-8"/>
                <w:szCs w:val="21"/>
              </w:rPr>
              <w:t xml:space="preserve">浙江省高等教育十三五第一批教学改革研究项目：国际合作办学背景下的工业设计实践教学研究 </w:t>
            </w:r>
          </w:p>
          <w:p>
            <w:pPr>
              <w:spacing w:line="360" w:lineRule="auto"/>
              <w:ind w:firstLine="388" w:firstLineChars="200"/>
              <w:rPr>
                <w:rFonts w:ascii="仿宋_GB2312"/>
                <w:spacing w:val="-8"/>
                <w:szCs w:val="21"/>
              </w:rPr>
            </w:pPr>
            <w:r>
              <w:rPr>
                <w:rFonts w:hint="eastAsia" w:asciiTheme="minorEastAsia" w:hAnsiTheme="minorEastAsia" w:eastAsiaTheme="minorEastAsia"/>
                <w:spacing w:val="-8"/>
                <w:szCs w:val="21"/>
              </w:rPr>
              <w:t>由教学成果转化而来的实用新型专利授权十余项，获得学科竞赛省级奖项多项，校企合作的横向科研到款百万元以上。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5"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spacing w:line="360" w:lineRule="auto"/>
              <w:textAlignment w:val="baseline"/>
              <w:rPr>
                <w:rFonts w:eastAsia="仿宋_GB2312"/>
              </w:rPr>
            </w:pPr>
            <w:r>
              <w:rPr>
                <w:rFonts w:hint="eastAsia" w:eastAsia="仿宋_GB2312"/>
              </w:rPr>
              <w:t>2.学校已具备的教学改革基础和环境，学校对项目的支持情况（含有关政策、经费及其使用管理机制、保障条件等，可附有关文件），尚缺少的条件和拟解决的途径</w:t>
            </w:r>
          </w:p>
          <w:p>
            <w:pPr>
              <w:widowControl/>
              <w:spacing w:line="360" w:lineRule="auto"/>
              <w:textAlignment w:val="baseline"/>
              <w:rPr>
                <w:rFonts w:eastAsia="仿宋_GB2312"/>
              </w:rPr>
            </w:pP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1.学校对教改项目十分重视和支持</w:t>
            </w:r>
          </w:p>
          <w:p>
            <w:pPr>
              <w:spacing w:line="360" w:lineRule="auto"/>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学校非常重视教学改革，出台《浙江工业大学之江学院教学改革与建设项目管理办法》，充分发挥教学改革与建设项目在人才培养中的作用，提高教学建设的质量和效益，规范教学改革和建设项目的管理。为本项目的建设提供了有力保障。</w:t>
            </w:r>
          </w:p>
          <w:p>
            <w:pPr>
              <w:spacing w:line="360" w:lineRule="auto"/>
              <w:ind w:firstLine="420" w:firstLineChars="200"/>
              <w:rPr>
                <w:rFonts w:asciiTheme="minorEastAsia" w:hAnsiTheme="minorEastAsia" w:eastAsiaTheme="minorEastAsia"/>
                <w:bCs/>
                <w:color w:val="000000"/>
                <w:szCs w:val="21"/>
              </w:rPr>
            </w:pP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2.教学团队师资力量强大，项目经验丰富，教学成果丰硕</w:t>
            </w:r>
          </w:p>
          <w:p>
            <w:pPr>
              <w:spacing w:line="360" w:lineRule="auto"/>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本项目参与者均为长期从事设计相关课程的一线教师、教授、博士，曾主持各项省部级、厅局级的教改和科研项目，纵向和横向科研经费到款累计百万元以上，经验丰富。在国内外设计竞赛中获奖丰硕，持有多项专利，教学成果显著。</w:t>
            </w:r>
          </w:p>
          <w:p>
            <w:pPr>
              <w:spacing w:line="360" w:lineRule="auto"/>
              <w:rPr>
                <w:rFonts w:asciiTheme="minorEastAsia" w:hAnsiTheme="minorEastAsia" w:eastAsiaTheme="minorEastAsia"/>
                <w:bCs/>
                <w:color w:val="000000"/>
                <w:szCs w:val="21"/>
              </w:rPr>
            </w:pPr>
          </w:p>
          <w:p>
            <w:pPr>
              <w:spacing w:line="360" w:lineRule="auto"/>
              <w:rPr>
                <w:rFonts w:asciiTheme="minorEastAsia" w:hAnsiTheme="minorEastAsia" w:eastAsiaTheme="minorEastAsia"/>
                <w:b/>
                <w:bCs/>
                <w:color w:val="000000"/>
                <w:szCs w:val="21"/>
              </w:rPr>
            </w:pPr>
            <w:r>
              <w:rPr>
                <w:rFonts w:hint="eastAsia" w:asciiTheme="minorEastAsia" w:hAnsiTheme="minorEastAsia" w:eastAsiaTheme="minorEastAsia"/>
                <w:bCs/>
                <w:color w:val="000000"/>
                <w:szCs w:val="21"/>
              </w:rPr>
              <w:t>3.</w:t>
            </w:r>
            <w:r>
              <w:rPr>
                <w:rFonts w:hint="eastAsia" w:asciiTheme="minorEastAsia" w:hAnsiTheme="minorEastAsia" w:eastAsiaTheme="minorEastAsia"/>
                <w:b/>
                <w:bCs/>
                <w:color w:val="000000"/>
                <w:szCs w:val="21"/>
              </w:rPr>
              <w:t xml:space="preserve"> </w:t>
            </w:r>
            <w:r>
              <w:rPr>
                <w:rFonts w:hint="eastAsia" w:asciiTheme="minorEastAsia" w:hAnsiTheme="minorEastAsia" w:eastAsiaTheme="minorEastAsia"/>
                <w:bCs/>
                <w:color w:val="000000"/>
                <w:szCs w:val="21"/>
              </w:rPr>
              <w:t>项目前期准备工作充实</w:t>
            </w:r>
          </w:p>
          <w:p>
            <w:pPr>
              <w:spacing w:line="360" w:lineRule="auto"/>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项目团队开展教学研讨会，总结教学经验，将部分教学成果与科研项目相结合，进行科研转化，取得多项专利授权。走访多个高校进行学术交流，收集大量的教学和研究资料，为教改项目的实施，教学计划和大纲的修订做好准备。</w:t>
            </w:r>
          </w:p>
          <w:p>
            <w:pPr>
              <w:widowControl/>
              <w:spacing w:line="360" w:lineRule="auto"/>
              <w:textAlignment w:val="baseline"/>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9"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spacing w:line="360" w:lineRule="auto"/>
              <w:textAlignment w:val="baseline"/>
              <w:rPr>
                <w:rFonts w:eastAsia="仿宋_GB2312"/>
              </w:rPr>
            </w:pPr>
            <w:r>
              <w:rPr>
                <w:rFonts w:eastAsia="仿宋_GB2312"/>
              </w:rPr>
              <w:t>3.</w:t>
            </w:r>
            <w:r>
              <w:rPr>
                <w:rFonts w:hint="eastAsia" w:eastAsia="仿宋_GB2312"/>
              </w:rPr>
              <w:t>申请者和项目组成员所承担的教学改革和科研项目情况</w:t>
            </w:r>
          </w:p>
          <w:p>
            <w:pPr>
              <w:spacing w:line="360" w:lineRule="auto"/>
              <w:ind w:firstLine="105" w:firstLineChars="5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一、教改与科研课题：</w:t>
            </w:r>
          </w:p>
          <w:p>
            <w:pPr>
              <w:spacing w:line="360" w:lineRule="auto"/>
              <w:ind w:firstLine="105" w:firstLineChars="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（1）纵向课题： </w:t>
            </w:r>
          </w:p>
          <w:p>
            <w:pPr>
              <w:spacing w:line="360" w:lineRule="auto"/>
              <w:ind w:firstLine="210" w:firstLineChars="1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2015年 浙江省高等教育课堂教学改革项目：UI设计教学方法与课内外教学互动创新模式的探索</w:t>
            </w:r>
          </w:p>
          <w:p>
            <w:pPr>
              <w:spacing w:line="360" w:lineRule="auto"/>
              <w:ind w:firstLine="210" w:firstLineChars="100"/>
              <w:rPr>
                <w:rFonts w:asciiTheme="minorEastAsia" w:hAnsiTheme="minorEastAsia" w:eastAsiaTheme="minorEastAsia"/>
                <w:spacing w:val="-8"/>
                <w:szCs w:val="21"/>
              </w:rPr>
            </w:pPr>
            <w:r>
              <w:rPr>
                <w:rFonts w:hint="eastAsia" w:asciiTheme="minorEastAsia" w:hAnsiTheme="minorEastAsia" w:eastAsiaTheme="minorEastAsia"/>
                <w:bCs/>
                <w:color w:val="000000"/>
                <w:szCs w:val="21"/>
              </w:rPr>
              <w:t xml:space="preserve">2018年 </w:t>
            </w:r>
            <w:r>
              <w:rPr>
                <w:rFonts w:hint="eastAsia" w:asciiTheme="minorEastAsia" w:hAnsiTheme="minorEastAsia" w:eastAsiaTheme="minorEastAsia"/>
                <w:spacing w:val="-8"/>
                <w:szCs w:val="21"/>
              </w:rPr>
              <w:t xml:space="preserve">浙江省高等教育十三五第一批教学改革研究项目：国际合作办学背景下的工业设计实践教学研究 </w:t>
            </w:r>
          </w:p>
          <w:p>
            <w:pPr>
              <w:spacing w:line="360" w:lineRule="auto"/>
              <w:ind w:firstLine="210" w:firstLineChars="100"/>
              <w:rPr>
                <w:rFonts w:asciiTheme="minorEastAsia" w:hAnsiTheme="minorEastAsia" w:eastAsiaTheme="minorEastAsia"/>
                <w:spacing w:val="-8"/>
                <w:szCs w:val="21"/>
              </w:rPr>
            </w:pPr>
            <w:r>
              <w:rPr>
                <w:rFonts w:hint="eastAsia" w:asciiTheme="minorEastAsia" w:hAnsiTheme="minorEastAsia" w:eastAsiaTheme="minorEastAsia"/>
                <w:bCs/>
                <w:color w:val="000000"/>
                <w:szCs w:val="21"/>
              </w:rPr>
              <w:t xml:space="preserve">2018年 </w:t>
            </w:r>
            <w:r>
              <w:rPr>
                <w:rFonts w:hint="eastAsia" w:asciiTheme="minorEastAsia" w:hAnsiTheme="minorEastAsia" w:eastAsiaTheme="minorEastAsia"/>
                <w:spacing w:val="-8"/>
                <w:szCs w:val="21"/>
              </w:rPr>
              <w:t xml:space="preserve">浙江省教育科学规划课题：“文化自信”理念下高校传统美学意识的跨学科应用研究——以文创产品设计教学为例 </w:t>
            </w:r>
          </w:p>
          <w:p>
            <w:pPr>
              <w:spacing w:line="360" w:lineRule="auto"/>
              <w:ind w:firstLine="210" w:firstLineChars="100"/>
              <w:rPr>
                <w:rFonts w:asciiTheme="minorEastAsia" w:hAnsiTheme="minorEastAsia" w:eastAsiaTheme="minorEastAsia"/>
                <w:spacing w:val="-8"/>
                <w:szCs w:val="21"/>
              </w:rPr>
            </w:pPr>
            <w:r>
              <w:rPr>
                <w:rFonts w:hint="eastAsia" w:asciiTheme="minorEastAsia" w:hAnsiTheme="minorEastAsia" w:eastAsiaTheme="minorEastAsia"/>
                <w:bCs/>
                <w:color w:val="000000"/>
                <w:szCs w:val="21"/>
              </w:rPr>
              <w:t>2018年 浙江省文化厅年度厅级文化科研项目</w:t>
            </w:r>
            <w:r>
              <w:rPr>
                <w:rFonts w:hint="eastAsia" w:asciiTheme="minorEastAsia" w:hAnsiTheme="minorEastAsia" w:eastAsiaTheme="minorEastAsia"/>
                <w:spacing w:val="-8"/>
                <w:szCs w:val="21"/>
              </w:rPr>
              <w:t>：文化创新背景下浙南非遗与学前儿童教育产品的融合设计研究</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bCs/>
                <w:color w:val="000000"/>
                <w:szCs w:val="21"/>
              </w:rPr>
              <w:t>2009年 浙江文化工程课题</w:t>
            </w:r>
            <w:r>
              <w:rPr>
                <w:rFonts w:hint="eastAsia" w:asciiTheme="minorEastAsia" w:hAnsiTheme="minorEastAsia" w:eastAsiaTheme="minorEastAsia"/>
                <w:szCs w:val="21"/>
              </w:rPr>
              <w:t xml:space="preserve">：浙江民间美术概要  </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bCs/>
                <w:color w:val="000000"/>
                <w:szCs w:val="21"/>
              </w:rPr>
              <w:t>2016年 教育部</w:t>
            </w:r>
            <w:r>
              <w:rPr>
                <w:rFonts w:hint="eastAsia" w:asciiTheme="minorEastAsia" w:hAnsiTheme="minorEastAsia" w:eastAsiaTheme="minorEastAsia"/>
                <w:spacing w:val="-8"/>
                <w:szCs w:val="21"/>
              </w:rPr>
              <w:t>人文社会科学研究规划基金项目</w:t>
            </w:r>
            <w:r>
              <w:rPr>
                <w:rFonts w:hint="eastAsia" w:asciiTheme="minorEastAsia" w:hAnsiTheme="minorEastAsia" w:eastAsiaTheme="minorEastAsia"/>
                <w:bCs/>
                <w:color w:val="000000"/>
                <w:szCs w:val="21"/>
              </w:rPr>
              <w:t>：面向纺织品考古的三维动画创新研究</w:t>
            </w:r>
          </w:p>
          <w:p>
            <w:pPr>
              <w:spacing w:line="360" w:lineRule="auto"/>
              <w:ind w:firstLine="210" w:firstLineChars="1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2019年柯桥区社科联调研课题:</w:t>
            </w:r>
            <w:r>
              <w:rPr>
                <w:rFonts w:hint="eastAsia" w:asciiTheme="minorEastAsia" w:hAnsiTheme="minorEastAsia" w:eastAsiaTheme="minorEastAsia"/>
                <w:color w:val="000000"/>
                <w:szCs w:val="21"/>
              </w:rPr>
              <w:t xml:space="preserve"> 绍兴时尚产业发展中的本土化创意设计方法研究——以“创柯桥”绍台大学生设计营为例</w:t>
            </w:r>
          </w:p>
          <w:p>
            <w:pPr>
              <w:spacing w:line="360" w:lineRule="auto"/>
              <w:ind w:firstLine="210" w:firstLineChars="100"/>
              <w:rPr>
                <w:rFonts w:asciiTheme="minorEastAsia" w:hAnsiTheme="minorEastAsia" w:eastAsiaTheme="minorEastAsia"/>
                <w:bCs/>
                <w:color w:val="000000"/>
                <w:szCs w:val="21"/>
              </w:rPr>
            </w:pPr>
            <w:r>
              <w:rPr>
                <w:rFonts w:hint="eastAsia" w:asciiTheme="minorEastAsia" w:hAnsiTheme="minorEastAsia" w:eastAsiaTheme="minorEastAsia"/>
                <w:color w:val="000000"/>
                <w:szCs w:val="21"/>
              </w:rPr>
              <w:t>（2）横向课题：</w:t>
            </w:r>
          </w:p>
          <w:p>
            <w:pPr>
              <w:spacing w:line="360" w:lineRule="auto"/>
              <w:ind w:firstLine="210" w:firstLineChars="1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 xml:space="preserve">2015年 </w:t>
            </w:r>
            <w:r>
              <w:rPr>
                <w:rFonts w:cs="Courier" w:asciiTheme="minorEastAsia" w:hAnsiTheme="minorEastAsia" w:eastAsiaTheme="minorEastAsia"/>
                <w:szCs w:val="21"/>
              </w:rPr>
              <w:t>浙江芹阳茶业有限公司包装及形象系统设计</w:t>
            </w:r>
            <w:r>
              <w:rPr>
                <w:rFonts w:hint="eastAsia" w:cs="Courier" w:asciiTheme="minorEastAsia" w:hAnsiTheme="minorEastAsia" w:eastAsiaTheme="minorEastAsia"/>
                <w:szCs w:val="21"/>
              </w:rPr>
              <w:t xml:space="preserve"> </w:t>
            </w:r>
            <w:r>
              <w:rPr>
                <w:rFonts w:hint="eastAsia" w:asciiTheme="minorEastAsia" w:hAnsiTheme="minorEastAsia" w:eastAsiaTheme="minorEastAsia"/>
                <w:szCs w:val="21"/>
              </w:rPr>
              <w:t>项目经费：</w:t>
            </w:r>
            <w:r>
              <w:rPr>
                <w:rFonts w:hint="eastAsia" w:asciiTheme="minorEastAsia" w:hAnsiTheme="minorEastAsia" w:eastAsiaTheme="minorEastAsia"/>
                <w:bCs/>
                <w:color w:val="000000"/>
                <w:szCs w:val="21"/>
              </w:rPr>
              <w:t>30万元</w:t>
            </w:r>
          </w:p>
          <w:p>
            <w:pPr>
              <w:spacing w:line="360" w:lineRule="auto"/>
              <w:ind w:firstLine="210" w:firstLineChars="1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 xml:space="preserve">2016年 </w:t>
            </w:r>
            <w:r>
              <w:rPr>
                <w:rFonts w:hint="eastAsia" w:asciiTheme="minorEastAsia" w:hAnsiTheme="minorEastAsia" w:eastAsiaTheme="minorEastAsia"/>
                <w:spacing w:val="-8"/>
                <w:szCs w:val="21"/>
              </w:rPr>
              <w:t xml:space="preserve">全盟科技设备管理系统及APP设计研发  </w:t>
            </w:r>
            <w:r>
              <w:rPr>
                <w:rFonts w:hint="eastAsia" w:asciiTheme="minorEastAsia" w:hAnsiTheme="minorEastAsia" w:eastAsiaTheme="minorEastAsia"/>
                <w:szCs w:val="21"/>
              </w:rPr>
              <w:t>项目经费：</w:t>
            </w:r>
            <w:r>
              <w:rPr>
                <w:rFonts w:hint="eastAsia" w:asciiTheme="minorEastAsia" w:hAnsiTheme="minorEastAsia" w:eastAsiaTheme="minorEastAsia"/>
                <w:bCs/>
                <w:color w:val="000000"/>
                <w:szCs w:val="21"/>
              </w:rPr>
              <w:t>18万元</w:t>
            </w:r>
          </w:p>
          <w:p>
            <w:pPr>
              <w:spacing w:line="360" w:lineRule="auto"/>
              <w:ind w:firstLine="210" w:firstLineChars="1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 xml:space="preserve">2017年 意柯那ALIAS工业设计技术研发项目  </w:t>
            </w:r>
            <w:r>
              <w:rPr>
                <w:rFonts w:hint="eastAsia" w:asciiTheme="minorEastAsia" w:hAnsiTheme="minorEastAsia" w:eastAsiaTheme="minorEastAsia"/>
                <w:szCs w:val="21"/>
              </w:rPr>
              <w:t>项目经费：</w:t>
            </w:r>
            <w:r>
              <w:rPr>
                <w:rFonts w:asciiTheme="minorEastAsia" w:hAnsiTheme="minorEastAsia" w:eastAsiaTheme="minorEastAsia"/>
                <w:bCs/>
                <w:color w:val="000000"/>
                <w:szCs w:val="21"/>
              </w:rPr>
              <w:t>32</w:t>
            </w:r>
            <w:r>
              <w:rPr>
                <w:rFonts w:hint="eastAsia" w:asciiTheme="minorEastAsia" w:hAnsiTheme="minorEastAsia" w:eastAsiaTheme="minorEastAsia"/>
                <w:bCs/>
                <w:color w:val="000000"/>
                <w:szCs w:val="21"/>
              </w:rPr>
              <w:t>万元</w:t>
            </w:r>
          </w:p>
          <w:p>
            <w:pPr>
              <w:spacing w:line="360" w:lineRule="auto"/>
              <w:ind w:firstLine="210" w:firstLineChars="1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 xml:space="preserve">2018年 </w:t>
            </w:r>
            <w:r>
              <w:rPr>
                <w:rFonts w:hint="eastAsia" w:asciiTheme="minorEastAsia" w:hAnsiTheme="minorEastAsia" w:eastAsiaTheme="minorEastAsia"/>
                <w:spacing w:val="-8"/>
                <w:szCs w:val="21"/>
              </w:rPr>
              <w:t>仁谱科技设备管理系统及APP设计研发</w:t>
            </w:r>
            <w:r>
              <w:rPr>
                <w:rFonts w:hint="eastAsia" w:asciiTheme="minorEastAsia" w:hAnsiTheme="minorEastAsia" w:eastAsiaTheme="minorEastAsia"/>
                <w:b/>
                <w:spacing w:val="-8"/>
                <w:szCs w:val="21"/>
              </w:rPr>
              <w:t xml:space="preserve"> </w:t>
            </w:r>
            <w:r>
              <w:rPr>
                <w:rFonts w:hint="eastAsia" w:asciiTheme="minorEastAsia" w:hAnsiTheme="minorEastAsia" w:eastAsiaTheme="minorEastAsia"/>
                <w:szCs w:val="21"/>
              </w:rPr>
              <w:t>项目经费：</w:t>
            </w:r>
            <w:r>
              <w:rPr>
                <w:rFonts w:hint="eastAsia" w:asciiTheme="minorEastAsia" w:hAnsiTheme="minorEastAsia" w:eastAsiaTheme="minorEastAsia"/>
                <w:bCs/>
                <w:color w:val="000000"/>
                <w:szCs w:val="21"/>
              </w:rPr>
              <w:t>40万元</w:t>
            </w:r>
          </w:p>
          <w:p>
            <w:pPr>
              <w:spacing w:line="360" w:lineRule="auto"/>
              <w:ind w:firstLine="105" w:firstLineChars="50"/>
              <w:rPr>
                <w:rFonts w:asciiTheme="minorEastAsia" w:hAnsiTheme="minorEastAsia" w:eastAsiaTheme="minorEastAsia"/>
                <w:bCs/>
                <w:color w:val="000000"/>
                <w:szCs w:val="21"/>
              </w:rPr>
            </w:pPr>
          </w:p>
          <w:p>
            <w:pPr>
              <w:spacing w:line="360" w:lineRule="auto"/>
              <w:ind w:firstLine="105" w:firstLineChars="5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二、教改与学术论文：</w:t>
            </w:r>
          </w:p>
          <w:p>
            <w:pPr>
              <w:spacing w:line="360" w:lineRule="auto"/>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《传统“虚实”美学观念下的文创产品设计课程改良与实践》 创意与设计/2018.4</w:t>
            </w:r>
          </w:p>
          <w:p>
            <w:pPr>
              <w:spacing w:line="360" w:lineRule="auto"/>
              <w:ind w:firstLine="105" w:firstLineChars="50"/>
              <w:rPr>
                <w:rFonts w:asciiTheme="minorEastAsia" w:hAnsiTheme="minorEastAsia" w:eastAsiaTheme="minorEastAsia"/>
                <w:b/>
                <w:color w:val="000000"/>
                <w:szCs w:val="21"/>
              </w:rPr>
            </w:pPr>
            <w:r>
              <w:rPr>
                <w:rFonts w:hint="eastAsia" w:asciiTheme="minorEastAsia" w:hAnsiTheme="minorEastAsia" w:eastAsiaTheme="minorEastAsia"/>
                <w:szCs w:val="21"/>
              </w:rPr>
              <w:t xml:space="preserve">《论“寓情于景”的本土化设计——以“水乡人”品牌形象设计为例》 </w:t>
            </w:r>
            <w:r>
              <w:rPr>
                <w:rFonts w:hint="eastAsia" w:asciiTheme="minorEastAsia" w:hAnsiTheme="minorEastAsia" w:eastAsiaTheme="minorEastAsia"/>
                <w:bCs/>
                <w:color w:val="000000"/>
                <w:szCs w:val="21"/>
              </w:rPr>
              <w:t>装饰/2013.3</w:t>
            </w:r>
          </w:p>
          <w:p>
            <w:pPr>
              <w:spacing w:line="360" w:lineRule="auto"/>
              <w:ind w:firstLine="105" w:firstLineChars="5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《关于废旧材料再设计模式的探讨》 现代装饰/2015.1</w:t>
            </w:r>
          </w:p>
          <w:p>
            <w:pPr>
              <w:spacing w:line="360" w:lineRule="auto"/>
              <w:ind w:firstLine="105" w:firstLineChars="50"/>
              <w:rPr>
                <w:rFonts w:asciiTheme="minorEastAsia" w:hAnsiTheme="minorEastAsia" w:eastAsiaTheme="minorEastAsia"/>
                <w:bCs/>
                <w:color w:val="000000"/>
                <w:szCs w:val="21"/>
              </w:rPr>
            </w:pPr>
            <w:r>
              <w:rPr>
                <w:rFonts w:hint="eastAsia" w:asciiTheme="minorEastAsia" w:hAnsiTheme="minorEastAsia" w:eastAsiaTheme="minorEastAsia"/>
                <w:color w:val="000000"/>
                <w:szCs w:val="21"/>
              </w:rPr>
              <w:t>《狄德罗收藏的一套素描淡彩——兼论17、18世纪的欧洲壁纸业》 新美术</w:t>
            </w:r>
            <w:r>
              <w:rPr>
                <w:rFonts w:hint="eastAsia" w:asciiTheme="minorEastAsia" w:hAnsiTheme="minorEastAsia" w:eastAsiaTheme="minorEastAsia"/>
                <w:bCs/>
                <w:color w:val="000000"/>
                <w:szCs w:val="21"/>
              </w:rPr>
              <w:t>/2018.11</w:t>
            </w:r>
          </w:p>
          <w:p>
            <w:pPr>
              <w:spacing w:line="360" w:lineRule="auto"/>
              <w:ind w:firstLine="105" w:firstLineChars="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《绍兴工业设计如何更上一层楼》 经贸实践/2019.5</w:t>
            </w:r>
          </w:p>
          <w:p>
            <w:pPr>
              <w:spacing w:line="360" w:lineRule="auto"/>
              <w:ind w:firstLine="105" w:firstLineChars="50"/>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《博物馆展陈数字化设计的情感化因素思考》 美术观察/2019.6</w:t>
            </w:r>
          </w:p>
          <w:p>
            <w:pPr>
              <w:spacing w:line="360" w:lineRule="auto"/>
              <w:ind w:firstLine="210" w:firstLineChars="1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《论中国传统器物设计的中和之美》 神州/2019.9</w:t>
            </w:r>
          </w:p>
          <w:p>
            <w:pPr>
              <w:spacing w:line="360" w:lineRule="auto"/>
              <w:ind w:firstLine="210" w:firstLineChars="100"/>
              <w:rPr>
                <w:rFonts w:asciiTheme="minorEastAsia" w:hAnsiTheme="minorEastAsia" w:eastAsiaTheme="minorEastAsia"/>
                <w:bCs/>
                <w:color w:val="000000"/>
                <w:szCs w:val="21"/>
              </w:rPr>
            </w:pPr>
          </w:p>
          <w:p>
            <w:pPr>
              <w:spacing w:line="360" w:lineRule="auto"/>
              <w:ind w:firstLine="211" w:firstLineChars="100"/>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三、专利授权：</w:t>
            </w:r>
          </w:p>
          <w:p>
            <w:pPr>
              <w:spacing w:line="360" w:lineRule="auto"/>
              <w:ind w:firstLine="210" w:firstLineChars="1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w:t>
            </w:r>
            <w:r>
              <w:rPr>
                <w:rFonts w:hint="eastAsia" w:asciiTheme="minorEastAsia" w:hAnsiTheme="minorEastAsia" w:eastAsiaTheme="minorEastAsia"/>
                <w:szCs w:val="21"/>
              </w:rPr>
              <w:t>一种回声家庭低音炮</w:t>
            </w:r>
            <w:r>
              <w:rPr>
                <w:rFonts w:hint="eastAsia" w:asciiTheme="minorEastAsia" w:hAnsiTheme="minorEastAsia" w:eastAsiaTheme="minorEastAsia"/>
                <w:bCs/>
                <w:color w:val="000000"/>
                <w:szCs w:val="21"/>
              </w:rPr>
              <w:t>》、《</w:t>
            </w:r>
            <w:r>
              <w:rPr>
                <w:rStyle w:val="9"/>
                <w:rFonts w:hint="eastAsia" w:asciiTheme="minorEastAsia" w:hAnsiTheme="minorEastAsia" w:eastAsiaTheme="minorEastAsia"/>
                <w:b w:val="0"/>
                <w:bCs w:val="0"/>
                <w:kern w:val="0"/>
                <w:sz w:val="21"/>
                <w:szCs w:val="21"/>
              </w:rPr>
              <w:t>一种能分体的电磁炉</w:t>
            </w:r>
            <w:r>
              <w:rPr>
                <w:rFonts w:hint="eastAsia" w:asciiTheme="minorEastAsia" w:hAnsiTheme="minorEastAsia" w:eastAsiaTheme="minorEastAsia"/>
                <w:bCs/>
                <w:color w:val="000000"/>
                <w:szCs w:val="21"/>
              </w:rPr>
              <w:t>》、《</w:t>
            </w:r>
            <w:r>
              <w:rPr>
                <w:rStyle w:val="9"/>
                <w:rFonts w:hint="eastAsia" w:asciiTheme="minorEastAsia" w:hAnsiTheme="minorEastAsia" w:eastAsiaTheme="minorEastAsia"/>
                <w:b w:val="0"/>
                <w:bCs w:val="0"/>
                <w:kern w:val="0"/>
                <w:sz w:val="21"/>
                <w:szCs w:val="21"/>
              </w:rPr>
              <w:t>一种携带清洗方便的榨汁机</w:t>
            </w:r>
            <w:r>
              <w:rPr>
                <w:rFonts w:hint="eastAsia" w:asciiTheme="minorEastAsia" w:hAnsiTheme="minorEastAsia" w:eastAsiaTheme="minorEastAsia"/>
                <w:bCs/>
                <w:color w:val="000000"/>
                <w:szCs w:val="21"/>
              </w:rPr>
              <w:t>》、《</w:t>
            </w:r>
            <w:r>
              <w:rPr>
                <w:rFonts w:hint="eastAsia" w:asciiTheme="minorEastAsia" w:hAnsiTheme="minorEastAsia" w:eastAsiaTheme="minorEastAsia"/>
                <w:szCs w:val="21"/>
              </w:rPr>
              <w:t>一种易拉罐压缩器</w:t>
            </w:r>
            <w:r>
              <w:rPr>
                <w:rFonts w:hint="eastAsia" w:asciiTheme="minorEastAsia" w:hAnsiTheme="minorEastAsia" w:eastAsiaTheme="minorEastAsia"/>
                <w:bCs/>
                <w:color w:val="000000"/>
                <w:szCs w:val="21"/>
              </w:rPr>
              <w:t>》、《</w:t>
            </w:r>
            <w:r>
              <w:rPr>
                <w:rFonts w:hint="eastAsia" w:asciiTheme="minorEastAsia" w:hAnsiTheme="minorEastAsia" w:eastAsiaTheme="minorEastAsia"/>
                <w:szCs w:val="21"/>
              </w:rPr>
              <w:t>一种可压缩的环保垃圾桶</w:t>
            </w:r>
            <w:r>
              <w:rPr>
                <w:rFonts w:hint="eastAsia" w:asciiTheme="minorEastAsia" w:hAnsiTheme="minorEastAsia" w:eastAsiaTheme="minorEastAsia"/>
                <w:bCs/>
                <w:color w:val="000000"/>
                <w:szCs w:val="21"/>
              </w:rPr>
              <w:t>》、《</w:t>
            </w:r>
            <w:r>
              <w:rPr>
                <w:rFonts w:hint="eastAsia" w:asciiTheme="minorEastAsia" w:hAnsiTheme="minorEastAsia" w:eastAsiaTheme="minorEastAsia"/>
                <w:spacing w:val="-8"/>
                <w:szCs w:val="21"/>
              </w:rPr>
              <w:t>一种新型公交车扶手</w:t>
            </w:r>
            <w:r>
              <w:rPr>
                <w:rFonts w:hint="eastAsia" w:asciiTheme="minorEastAsia" w:hAnsiTheme="minorEastAsia" w:eastAsiaTheme="minorEastAsia"/>
                <w:bCs/>
                <w:color w:val="000000"/>
                <w:szCs w:val="21"/>
              </w:rPr>
              <w:t>》、《</w:t>
            </w:r>
            <w:r>
              <w:rPr>
                <w:rFonts w:hint="eastAsia" w:asciiTheme="minorEastAsia" w:hAnsiTheme="minorEastAsia" w:eastAsiaTheme="minorEastAsia"/>
                <w:spacing w:val="-8"/>
                <w:szCs w:val="21"/>
              </w:rPr>
              <w:t>一种情感化设计户外健身器</w:t>
            </w:r>
            <w:r>
              <w:rPr>
                <w:rFonts w:hint="eastAsia" w:asciiTheme="minorEastAsia" w:hAnsiTheme="minorEastAsia" w:eastAsiaTheme="minorEastAsia"/>
                <w:bCs/>
                <w:color w:val="000000"/>
                <w:szCs w:val="21"/>
              </w:rPr>
              <w:t>》、《</w:t>
            </w:r>
            <w:r>
              <w:rPr>
                <w:rFonts w:hint="eastAsia" w:asciiTheme="minorEastAsia" w:hAnsiTheme="minorEastAsia" w:eastAsiaTheme="minorEastAsia"/>
                <w:spacing w:val="-8"/>
                <w:szCs w:val="21"/>
              </w:rPr>
              <w:t>一种公交车婴幼儿安全座椅</w:t>
            </w:r>
            <w:r>
              <w:rPr>
                <w:rFonts w:hint="eastAsia" w:asciiTheme="minorEastAsia" w:hAnsiTheme="minorEastAsia" w:eastAsiaTheme="minorEastAsia"/>
                <w:bCs/>
                <w:color w:val="000000"/>
                <w:szCs w:val="21"/>
              </w:rPr>
              <w:t>》、《</w:t>
            </w:r>
            <w:r>
              <w:rPr>
                <w:rFonts w:hint="eastAsia" w:asciiTheme="minorEastAsia" w:hAnsiTheme="minorEastAsia" w:eastAsiaTheme="minorEastAsia"/>
                <w:spacing w:val="-8"/>
                <w:szCs w:val="21"/>
              </w:rPr>
              <w:t>雨伞烘干装置</w:t>
            </w:r>
            <w:r>
              <w:rPr>
                <w:rFonts w:hint="eastAsia" w:asciiTheme="minorEastAsia" w:hAnsiTheme="minorEastAsia" w:eastAsiaTheme="minorEastAsia"/>
                <w:bCs/>
                <w:color w:val="000000"/>
                <w:szCs w:val="21"/>
              </w:rPr>
              <w:t>》、《</w:t>
            </w:r>
            <w:r>
              <w:rPr>
                <w:rFonts w:hint="eastAsia" w:asciiTheme="minorEastAsia" w:hAnsiTheme="minorEastAsia" w:eastAsiaTheme="minorEastAsia"/>
                <w:spacing w:val="-8"/>
                <w:szCs w:val="21"/>
              </w:rPr>
              <w:t>一种分体式双人摇椅</w:t>
            </w:r>
            <w:r>
              <w:rPr>
                <w:rFonts w:hint="eastAsia" w:asciiTheme="minorEastAsia" w:hAnsiTheme="minorEastAsia" w:eastAsiaTheme="minorEastAsia"/>
                <w:bCs/>
                <w:color w:val="000000"/>
                <w:szCs w:val="21"/>
              </w:rPr>
              <w:t>》</w:t>
            </w:r>
          </w:p>
          <w:p>
            <w:pPr>
              <w:spacing w:line="360" w:lineRule="auto"/>
              <w:ind w:firstLine="210" w:firstLineChars="100"/>
              <w:rPr>
                <w:rFonts w:asciiTheme="minorEastAsia" w:hAnsiTheme="minorEastAsia" w:eastAsiaTheme="minorEastAsia"/>
                <w:bCs/>
                <w:color w:val="000000"/>
                <w:szCs w:val="21"/>
              </w:rPr>
            </w:pPr>
          </w:p>
          <w:p>
            <w:pPr>
              <w:spacing w:line="360" w:lineRule="auto"/>
              <w:ind w:firstLine="211" w:firstLineChars="10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四、科技竞赛成果</w:t>
            </w:r>
          </w:p>
          <w:p>
            <w:pPr>
              <w:spacing w:line="360" w:lineRule="auto"/>
              <w:ind w:firstLine="210" w:firstLineChars="100"/>
              <w:rPr>
                <w:rFonts w:asciiTheme="minorEastAsia" w:hAnsiTheme="minorEastAsia" w:eastAsiaTheme="minorEastAsia"/>
                <w:bCs/>
                <w:color w:val="000000"/>
                <w:szCs w:val="21"/>
              </w:rPr>
            </w:pPr>
            <w:r>
              <w:rPr>
                <w:rFonts w:asciiTheme="minorEastAsia" w:hAnsiTheme="minorEastAsia" w:eastAsiaTheme="minorEastAsia"/>
                <w:bCs/>
                <w:color w:val="000000"/>
                <w:szCs w:val="21"/>
              </w:rPr>
              <w:t>201</w:t>
            </w:r>
            <w:r>
              <w:rPr>
                <w:rFonts w:hint="eastAsia" w:asciiTheme="minorEastAsia" w:hAnsiTheme="minorEastAsia" w:eastAsiaTheme="minorEastAsia"/>
                <w:bCs/>
                <w:color w:val="000000"/>
                <w:szCs w:val="21"/>
              </w:rPr>
              <w:t>1</w:t>
            </w:r>
            <w:r>
              <w:rPr>
                <w:rFonts w:hint="eastAsia" w:asciiTheme="minorEastAsia" w:hAnsiTheme="minorEastAsia" w:eastAsiaTheme="minorEastAsia"/>
                <w:spacing w:val="-8"/>
                <w:szCs w:val="21"/>
              </w:rPr>
              <w:t xml:space="preserve"> </w:t>
            </w:r>
            <w:r>
              <w:rPr>
                <w:rFonts w:hint="eastAsia" w:asciiTheme="minorEastAsia" w:hAnsiTheme="minorEastAsia" w:eastAsiaTheme="minorEastAsia"/>
                <w:bCs/>
                <w:color w:val="000000"/>
                <w:szCs w:val="21"/>
              </w:rPr>
              <w:t>年</w:t>
            </w:r>
            <w:r>
              <w:rPr>
                <w:rFonts w:hint="eastAsia" w:asciiTheme="minorEastAsia" w:hAnsiTheme="minorEastAsia" w:eastAsiaTheme="minorEastAsia"/>
                <w:spacing w:val="-8"/>
                <w:szCs w:val="21"/>
              </w:rPr>
              <w:t>指导</w:t>
            </w:r>
            <w:r>
              <w:rPr>
                <w:rFonts w:hint="eastAsia" w:asciiTheme="minorEastAsia" w:hAnsiTheme="minorEastAsia" w:eastAsiaTheme="minorEastAsia"/>
                <w:bCs/>
                <w:color w:val="000000"/>
                <w:szCs w:val="21"/>
              </w:rPr>
              <w:t>学生获</w:t>
            </w:r>
            <w:r>
              <w:rPr>
                <w:rFonts w:hint="eastAsia" w:asciiTheme="minorEastAsia" w:hAnsiTheme="minorEastAsia" w:eastAsiaTheme="minorEastAsia"/>
                <w:spacing w:val="-8"/>
                <w:szCs w:val="21"/>
              </w:rPr>
              <w:t>浙江省多媒体大赛 省</w:t>
            </w:r>
            <w:r>
              <w:rPr>
                <w:rFonts w:hint="eastAsia" w:asciiTheme="minorEastAsia" w:hAnsiTheme="minorEastAsia" w:eastAsiaTheme="minorEastAsia"/>
                <w:bCs/>
                <w:color w:val="000000"/>
                <w:szCs w:val="21"/>
              </w:rPr>
              <w:t xml:space="preserve">三等奖 </w:t>
            </w:r>
          </w:p>
          <w:p>
            <w:pPr>
              <w:spacing w:line="360" w:lineRule="auto"/>
              <w:ind w:firstLine="210" w:firstLineChars="100"/>
              <w:rPr>
                <w:rFonts w:asciiTheme="minorEastAsia" w:hAnsiTheme="minorEastAsia" w:eastAsiaTheme="minorEastAsia"/>
                <w:color w:val="000000"/>
                <w:szCs w:val="21"/>
              </w:rPr>
            </w:pPr>
            <w:r>
              <w:rPr>
                <w:rFonts w:asciiTheme="minorEastAsia" w:hAnsiTheme="minorEastAsia" w:eastAsiaTheme="minorEastAsia"/>
                <w:bCs/>
                <w:color w:val="000000"/>
                <w:szCs w:val="21"/>
              </w:rPr>
              <w:t>201</w:t>
            </w:r>
            <w:r>
              <w:rPr>
                <w:rFonts w:hint="eastAsia" w:asciiTheme="minorEastAsia" w:hAnsiTheme="minorEastAsia" w:eastAsiaTheme="minorEastAsia"/>
                <w:bCs/>
                <w:color w:val="000000"/>
                <w:szCs w:val="21"/>
              </w:rPr>
              <w:t>2年</w:t>
            </w:r>
            <w:r>
              <w:rPr>
                <w:rFonts w:hint="eastAsia" w:asciiTheme="minorEastAsia" w:hAnsiTheme="minorEastAsia" w:eastAsiaTheme="minorEastAsia"/>
                <w:szCs w:val="21"/>
              </w:rPr>
              <w:t>指导浙江省第十届大学生多媒体作品设计竞赛 省二等奖</w:t>
            </w:r>
          </w:p>
          <w:p>
            <w:pPr>
              <w:spacing w:line="360" w:lineRule="auto"/>
              <w:ind w:firstLine="210" w:firstLineChars="100"/>
              <w:rPr>
                <w:rFonts w:asciiTheme="minorEastAsia" w:hAnsiTheme="minorEastAsia" w:eastAsiaTheme="minorEastAsia"/>
                <w:bCs/>
                <w:color w:val="000000"/>
                <w:szCs w:val="21"/>
              </w:rPr>
            </w:pPr>
            <w:r>
              <w:rPr>
                <w:rFonts w:asciiTheme="minorEastAsia" w:hAnsiTheme="minorEastAsia" w:eastAsiaTheme="minorEastAsia"/>
                <w:bCs/>
                <w:color w:val="000000"/>
                <w:szCs w:val="21"/>
              </w:rPr>
              <w:t>201</w:t>
            </w:r>
            <w:r>
              <w:rPr>
                <w:rFonts w:hint="eastAsia" w:asciiTheme="minorEastAsia" w:hAnsiTheme="minorEastAsia" w:eastAsiaTheme="minorEastAsia"/>
                <w:bCs/>
                <w:color w:val="000000"/>
                <w:szCs w:val="21"/>
              </w:rPr>
              <w:t>3年指导学生获</w:t>
            </w:r>
            <w:r>
              <w:rPr>
                <w:rFonts w:hint="eastAsia" w:asciiTheme="minorEastAsia" w:hAnsiTheme="minorEastAsia" w:eastAsiaTheme="minorEastAsia"/>
                <w:spacing w:val="-8"/>
                <w:szCs w:val="21"/>
              </w:rPr>
              <w:t>浙江省第五届大学生工业设计大赛 省</w:t>
            </w:r>
            <w:r>
              <w:rPr>
                <w:rFonts w:hint="eastAsia" w:asciiTheme="minorEastAsia" w:hAnsiTheme="minorEastAsia" w:eastAsiaTheme="minorEastAsia"/>
                <w:bCs/>
                <w:color w:val="000000"/>
                <w:szCs w:val="21"/>
              </w:rPr>
              <w:t>二等奖</w:t>
            </w:r>
          </w:p>
          <w:p>
            <w:pPr>
              <w:spacing w:line="360" w:lineRule="auto"/>
              <w:ind w:firstLine="210" w:firstLineChars="100"/>
              <w:rPr>
                <w:rFonts w:asciiTheme="minorEastAsia" w:hAnsiTheme="minorEastAsia" w:eastAsiaTheme="minorEastAsia"/>
                <w:bCs/>
                <w:color w:val="000000"/>
                <w:szCs w:val="21"/>
              </w:rPr>
            </w:pPr>
            <w:r>
              <w:rPr>
                <w:rFonts w:asciiTheme="minorEastAsia" w:hAnsiTheme="minorEastAsia" w:eastAsiaTheme="minorEastAsia"/>
                <w:bCs/>
                <w:color w:val="000000"/>
                <w:szCs w:val="21"/>
              </w:rPr>
              <w:t>201</w:t>
            </w:r>
            <w:r>
              <w:rPr>
                <w:rFonts w:hint="eastAsia" w:asciiTheme="minorEastAsia" w:hAnsiTheme="minorEastAsia" w:eastAsiaTheme="minorEastAsia"/>
                <w:bCs/>
                <w:color w:val="000000"/>
                <w:szCs w:val="21"/>
              </w:rPr>
              <w:t>4年指导学生获</w:t>
            </w:r>
            <w:r>
              <w:rPr>
                <w:rFonts w:hint="eastAsia" w:asciiTheme="minorEastAsia" w:hAnsiTheme="minorEastAsia" w:eastAsiaTheme="minorEastAsia"/>
                <w:spacing w:val="-8"/>
                <w:szCs w:val="21"/>
              </w:rPr>
              <w:t>浙江省第三届大学生广告设计大赛 省</w:t>
            </w:r>
            <w:r>
              <w:rPr>
                <w:rFonts w:hint="eastAsia" w:asciiTheme="minorEastAsia" w:hAnsiTheme="minorEastAsia" w:eastAsiaTheme="minorEastAsia"/>
                <w:bCs/>
                <w:color w:val="000000"/>
                <w:szCs w:val="21"/>
              </w:rPr>
              <w:t>二等奖</w:t>
            </w:r>
          </w:p>
          <w:p>
            <w:pPr>
              <w:spacing w:line="360" w:lineRule="auto"/>
              <w:ind w:firstLine="210" w:firstLineChars="100"/>
              <w:rPr>
                <w:rFonts w:asciiTheme="minorEastAsia" w:hAnsiTheme="minorEastAsia" w:eastAsiaTheme="minorEastAsia"/>
                <w:szCs w:val="21"/>
              </w:rPr>
            </w:pPr>
            <w:r>
              <w:rPr>
                <w:rFonts w:asciiTheme="minorEastAsia" w:hAnsiTheme="minorEastAsia" w:eastAsiaTheme="minorEastAsia"/>
                <w:bCs/>
                <w:color w:val="000000"/>
                <w:szCs w:val="21"/>
              </w:rPr>
              <w:t>201</w:t>
            </w:r>
            <w:r>
              <w:rPr>
                <w:rFonts w:hint="eastAsia" w:asciiTheme="minorEastAsia" w:hAnsiTheme="minorEastAsia" w:eastAsiaTheme="minorEastAsia"/>
                <w:bCs/>
                <w:color w:val="000000"/>
                <w:szCs w:val="21"/>
              </w:rPr>
              <w:t>4年指导学生获</w:t>
            </w:r>
            <w:r>
              <w:rPr>
                <w:rFonts w:hint="eastAsia" w:asciiTheme="minorEastAsia" w:hAnsiTheme="minorEastAsia" w:eastAsiaTheme="minorEastAsia"/>
                <w:szCs w:val="21"/>
              </w:rPr>
              <w:t>全国大学生广告艺术大赛“南京青奥会”专题设计竞赛 全国三等奖</w:t>
            </w:r>
          </w:p>
          <w:p>
            <w:pPr>
              <w:widowControl/>
              <w:spacing w:line="360" w:lineRule="auto"/>
              <w:textAlignment w:val="baseline"/>
              <w:rPr>
                <w:rFonts w:eastAsia="仿宋_GB2312"/>
              </w:rPr>
            </w:pPr>
          </w:p>
        </w:tc>
      </w:tr>
    </w:tbl>
    <w:p>
      <w:pPr>
        <w:widowControl/>
        <w:spacing w:line="640" w:lineRule="atLeast"/>
        <w:textAlignment w:val="baseline"/>
        <w:rPr>
          <w:rFonts w:eastAsia="仿宋_GB2312"/>
          <w:sz w:val="28"/>
        </w:rPr>
        <w:sectPr>
          <w:pgSz w:w="11906" w:h="16838"/>
          <w:pgMar w:top="1928" w:right="1531" w:bottom="1928" w:left="1531" w:header="851" w:footer="1418" w:gutter="0"/>
          <w:pgNumType w:fmt="numberInDash"/>
          <w:cols w:space="720" w:num="1"/>
          <w:docGrid w:type="lines" w:linePitch="312" w:charSpace="0"/>
        </w:sectPr>
      </w:pPr>
    </w:p>
    <w:p>
      <w:pPr>
        <w:widowControl/>
        <w:spacing w:line="640" w:lineRule="atLeast"/>
        <w:textAlignment w:val="baseline"/>
        <w:rPr>
          <w:rFonts w:eastAsia="仿宋_GB2312"/>
          <w:sz w:val="28"/>
        </w:rPr>
      </w:pPr>
      <w:r>
        <w:rPr>
          <w:rFonts w:hint="eastAsia" w:eastAsia="仿宋_GB2312"/>
          <w:sz w:val="28"/>
        </w:rPr>
        <w:t>五、经费预算</w:t>
      </w:r>
    </w:p>
    <w:tbl>
      <w:tblPr>
        <w:tblStyle w:val="7"/>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062"/>
        <w:gridCol w:w="3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pPr>
              <w:widowControl/>
              <w:spacing w:line="640" w:lineRule="atLeast"/>
              <w:jc w:val="center"/>
              <w:textAlignment w:val="baseline"/>
            </w:pPr>
            <w:r>
              <w:rPr>
                <w:rFonts w:hint="eastAsia"/>
              </w:rPr>
              <w:t>支出科目</w:t>
            </w:r>
          </w:p>
        </w:tc>
        <w:tc>
          <w:tcPr>
            <w:tcW w:w="2062" w:type="dxa"/>
            <w:vAlign w:val="center"/>
          </w:tcPr>
          <w:p>
            <w:pPr>
              <w:widowControl/>
              <w:spacing w:line="640" w:lineRule="atLeast"/>
              <w:jc w:val="center"/>
              <w:textAlignment w:val="baseline"/>
            </w:pPr>
            <w:r>
              <w:rPr>
                <w:rFonts w:hint="eastAsia"/>
              </w:rPr>
              <w:t>金额（元）</w:t>
            </w:r>
          </w:p>
        </w:tc>
        <w:tc>
          <w:tcPr>
            <w:tcW w:w="3853" w:type="dxa"/>
            <w:vAlign w:val="center"/>
          </w:tcPr>
          <w:p>
            <w:pPr>
              <w:widowControl/>
              <w:spacing w:line="640" w:lineRule="atLeast"/>
              <w:jc w:val="center"/>
              <w:textAlignment w:val="baseline"/>
            </w:pPr>
            <w:r>
              <w:rPr>
                <w:rFonts w:hint="eastAsia"/>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pPr>
              <w:widowControl/>
              <w:spacing w:line="640" w:lineRule="atLeast"/>
              <w:jc w:val="center"/>
              <w:textAlignment w:val="baseline"/>
            </w:pPr>
            <w:r>
              <w:rPr>
                <w:rFonts w:hint="eastAsia"/>
              </w:rPr>
              <w:t>合计</w:t>
            </w:r>
          </w:p>
        </w:tc>
        <w:tc>
          <w:tcPr>
            <w:tcW w:w="2062" w:type="dxa"/>
            <w:vAlign w:val="center"/>
          </w:tcPr>
          <w:p>
            <w:pPr>
              <w:widowControl/>
              <w:spacing w:line="640" w:lineRule="atLeast"/>
              <w:jc w:val="center"/>
              <w:textAlignment w:val="baseline"/>
            </w:pPr>
            <w:r>
              <w:rPr>
                <w:rFonts w:hint="eastAsia"/>
              </w:rPr>
              <w:t>13000</w:t>
            </w:r>
          </w:p>
        </w:tc>
        <w:tc>
          <w:tcPr>
            <w:tcW w:w="3853" w:type="dxa"/>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pPr>
              <w:widowControl/>
              <w:spacing w:line="640" w:lineRule="atLeas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bCs/>
                <w:color w:val="000000"/>
                <w:sz w:val="24"/>
              </w:rPr>
              <w:t xml:space="preserve"> 图书资料费</w:t>
            </w:r>
          </w:p>
        </w:tc>
        <w:tc>
          <w:tcPr>
            <w:tcW w:w="2062" w:type="dxa"/>
            <w:vAlign w:val="center"/>
          </w:tcPr>
          <w:p>
            <w:pPr>
              <w:widowControl/>
              <w:spacing w:line="640" w:lineRule="atLeast"/>
              <w:jc w:val="center"/>
              <w:textAlignment w:val="baseline"/>
            </w:pPr>
            <w:r>
              <w:rPr>
                <w:rFonts w:hint="eastAsia"/>
              </w:rPr>
              <w:t>1500</w:t>
            </w:r>
          </w:p>
        </w:tc>
        <w:tc>
          <w:tcPr>
            <w:tcW w:w="3853" w:type="dxa"/>
            <w:vAlign w:val="center"/>
          </w:tcPr>
          <w:p>
            <w:pPr>
              <w:widowControl/>
              <w:spacing w:line="640" w:lineRule="atLeast"/>
              <w:jc w:val="center"/>
              <w:textAlignment w:val="baseline"/>
            </w:pPr>
            <w:r>
              <w:rPr>
                <w:rFonts w:hint="eastAsia" w:ascii="宋体"/>
                <w:bCs/>
                <w:color w:val="000000"/>
                <w:sz w:val="24"/>
              </w:rPr>
              <w:t>设计资料及书籍购买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pPr>
              <w:widowControl/>
              <w:spacing w:line="640" w:lineRule="atLeas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bCs/>
                <w:color w:val="000000"/>
                <w:sz w:val="24"/>
              </w:rPr>
              <w:t xml:space="preserve"> 国内调研费</w:t>
            </w:r>
          </w:p>
        </w:tc>
        <w:tc>
          <w:tcPr>
            <w:tcW w:w="2062" w:type="dxa"/>
            <w:vAlign w:val="center"/>
          </w:tcPr>
          <w:p>
            <w:pPr>
              <w:widowControl/>
              <w:spacing w:line="640" w:lineRule="atLeast"/>
              <w:jc w:val="center"/>
              <w:textAlignment w:val="baseline"/>
            </w:pPr>
            <w:r>
              <w:rPr>
                <w:rFonts w:hint="eastAsia"/>
              </w:rPr>
              <w:t>5000</w:t>
            </w:r>
          </w:p>
        </w:tc>
        <w:tc>
          <w:tcPr>
            <w:tcW w:w="3853" w:type="dxa"/>
            <w:vAlign w:val="center"/>
          </w:tcPr>
          <w:p>
            <w:pPr>
              <w:widowControl/>
              <w:spacing w:line="640" w:lineRule="atLeast"/>
              <w:jc w:val="center"/>
              <w:textAlignment w:val="baseline"/>
            </w:pPr>
            <w:r>
              <w:rPr>
                <w:rFonts w:hint="eastAsia" w:ascii="宋体"/>
                <w:bCs/>
                <w:color w:val="000000"/>
                <w:sz w:val="24"/>
              </w:rPr>
              <w:t>交通差旅费用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689" w:type="dxa"/>
            <w:vAlign w:val="center"/>
          </w:tcPr>
          <w:p>
            <w:pPr>
              <w:widowControl/>
              <w:spacing w:line="640" w:lineRule="atLeas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 </w:t>
            </w:r>
            <w:r>
              <w:rPr>
                <w:rFonts w:hint="eastAsia"/>
                <w:bCs/>
                <w:color w:val="000000"/>
                <w:sz w:val="24"/>
              </w:rPr>
              <w:t>文印费</w:t>
            </w:r>
          </w:p>
        </w:tc>
        <w:tc>
          <w:tcPr>
            <w:tcW w:w="2062" w:type="dxa"/>
            <w:vAlign w:val="center"/>
          </w:tcPr>
          <w:p>
            <w:pPr>
              <w:widowControl/>
              <w:spacing w:line="640" w:lineRule="atLeast"/>
              <w:jc w:val="center"/>
              <w:textAlignment w:val="baseline"/>
            </w:pPr>
            <w:r>
              <w:rPr>
                <w:rFonts w:hint="eastAsia"/>
              </w:rPr>
              <w:t>500</w:t>
            </w:r>
          </w:p>
        </w:tc>
        <w:tc>
          <w:tcPr>
            <w:tcW w:w="3853" w:type="dxa"/>
            <w:vAlign w:val="center"/>
          </w:tcPr>
          <w:p>
            <w:pPr>
              <w:widowControl/>
              <w:spacing w:line="640" w:lineRule="atLeast"/>
              <w:jc w:val="center"/>
              <w:textAlignment w:val="baseline"/>
            </w:pPr>
            <w:r>
              <w:rPr>
                <w:rFonts w:hint="eastAsia"/>
              </w:rPr>
              <w:t>资料打印复印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pPr>
              <w:widowControl/>
              <w:spacing w:line="640" w:lineRule="atLeast"/>
              <w:textAlignment w:val="baseline"/>
            </w:pPr>
            <w:r>
              <w:rPr>
                <w:rFonts w:hint="eastAsia"/>
              </w:rPr>
              <w:t>4.</w:t>
            </w:r>
            <w:r>
              <w:rPr>
                <w:rFonts w:hint="eastAsia"/>
                <w:bCs/>
                <w:color w:val="000000"/>
                <w:sz w:val="24"/>
              </w:rPr>
              <w:t xml:space="preserve">  研讨会议费</w:t>
            </w:r>
          </w:p>
        </w:tc>
        <w:tc>
          <w:tcPr>
            <w:tcW w:w="2062" w:type="dxa"/>
            <w:vAlign w:val="center"/>
          </w:tcPr>
          <w:p>
            <w:pPr>
              <w:widowControl/>
              <w:spacing w:line="640" w:lineRule="atLeast"/>
              <w:jc w:val="center"/>
              <w:textAlignment w:val="baseline"/>
            </w:pPr>
            <w:r>
              <w:rPr>
                <w:rFonts w:hint="eastAsia"/>
              </w:rPr>
              <w:t>3000</w:t>
            </w:r>
          </w:p>
        </w:tc>
        <w:tc>
          <w:tcPr>
            <w:tcW w:w="3853" w:type="dxa"/>
            <w:vAlign w:val="center"/>
          </w:tcPr>
          <w:p>
            <w:pPr>
              <w:widowControl/>
              <w:spacing w:line="640" w:lineRule="atLeast"/>
              <w:jc w:val="center"/>
              <w:textAlignment w:val="baseline"/>
            </w:pPr>
            <w:r>
              <w:rPr>
                <w:rFonts w:hint="eastAsia"/>
              </w:rPr>
              <w:t>会议开支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pPr>
              <w:widowControl/>
              <w:spacing w:line="640" w:lineRule="atLeast"/>
              <w:textAlignment w:val="baseline"/>
            </w:pPr>
            <w:r>
              <w:rPr>
                <w:rFonts w:hint="eastAsia"/>
              </w:rPr>
              <w:t xml:space="preserve">5.  </w:t>
            </w:r>
            <w:r>
              <w:rPr>
                <w:rFonts w:hint="eastAsia"/>
                <w:sz w:val="24"/>
                <w:szCs w:val="24"/>
              </w:rPr>
              <w:t>课程展览</w:t>
            </w:r>
          </w:p>
        </w:tc>
        <w:tc>
          <w:tcPr>
            <w:tcW w:w="2062" w:type="dxa"/>
            <w:vAlign w:val="center"/>
          </w:tcPr>
          <w:p>
            <w:pPr>
              <w:widowControl/>
              <w:spacing w:line="640" w:lineRule="atLeast"/>
              <w:jc w:val="center"/>
              <w:textAlignment w:val="baseline"/>
            </w:pPr>
            <w:r>
              <w:rPr>
                <w:rFonts w:hint="eastAsia"/>
              </w:rPr>
              <w:t>3000</w:t>
            </w:r>
          </w:p>
        </w:tc>
        <w:tc>
          <w:tcPr>
            <w:tcW w:w="3853" w:type="dxa"/>
            <w:vAlign w:val="center"/>
          </w:tcPr>
          <w:p>
            <w:pPr>
              <w:widowControl/>
              <w:spacing w:line="640" w:lineRule="atLeast"/>
              <w:jc w:val="center"/>
              <w:textAlignment w:val="baseline"/>
            </w:pPr>
            <w:r>
              <w:rPr>
                <w:rFonts w:hint="eastAsia"/>
              </w:rPr>
              <w:t>模型制作和展览</w:t>
            </w:r>
          </w:p>
        </w:tc>
      </w:tr>
    </w:tbl>
    <w:p>
      <w:pPr>
        <w:widowControl/>
        <w:spacing w:line="640" w:lineRule="atLeast"/>
        <w:textAlignment w:val="baseline"/>
      </w:pPr>
    </w:p>
    <w:p>
      <w:pPr>
        <w:widowControl/>
        <w:spacing w:line="640" w:lineRule="atLeast"/>
        <w:textAlignment w:val="baseline"/>
        <w:rPr>
          <w:rFonts w:eastAsia="仿宋_GB2312"/>
          <w:sz w:val="28"/>
        </w:rPr>
      </w:pPr>
      <w:r>
        <w:rPr>
          <w:rFonts w:hint="eastAsia" w:eastAsia="仿宋_GB2312"/>
          <w:sz w:val="28"/>
        </w:rPr>
        <w:t>六、专家组名单及评审意见</w:t>
      </w:r>
    </w:p>
    <w:tbl>
      <w:tblPr>
        <w:tblStyle w:val="7"/>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8"/>
        <w:gridCol w:w="1440"/>
        <w:gridCol w:w="1980"/>
        <w:gridCol w:w="252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298" w:type="dxa"/>
            <w:tcBorders>
              <w:top w:val="single" w:color="000000" w:sz="2" w:space="0"/>
              <w:left w:val="single" w:color="000000" w:sz="2" w:space="0"/>
              <w:bottom w:val="single" w:color="auto" w:sz="4" w:space="0"/>
              <w:right w:val="single" w:color="auto" w:sz="4" w:space="0"/>
            </w:tcBorders>
            <w:vAlign w:val="center"/>
          </w:tcPr>
          <w:p>
            <w:pPr>
              <w:snapToGrid w:val="0"/>
              <w:spacing w:line="379" w:lineRule="atLeast"/>
              <w:jc w:val="center"/>
              <w:textAlignment w:val="baseline"/>
            </w:pPr>
            <w:r>
              <w:rPr>
                <w:rFonts w:hint="eastAsia"/>
              </w:rPr>
              <w:t>姓名</w:t>
            </w:r>
          </w:p>
        </w:tc>
        <w:tc>
          <w:tcPr>
            <w:tcW w:w="1440" w:type="dxa"/>
            <w:tcBorders>
              <w:top w:val="single" w:color="000000" w:sz="2" w:space="0"/>
              <w:left w:val="single" w:color="auto" w:sz="4" w:space="0"/>
              <w:bottom w:val="single" w:color="auto" w:sz="4" w:space="0"/>
              <w:right w:val="single" w:color="000000" w:sz="2" w:space="0"/>
            </w:tcBorders>
            <w:vAlign w:val="center"/>
          </w:tcPr>
          <w:p>
            <w:pPr>
              <w:snapToGrid w:val="0"/>
              <w:spacing w:line="379" w:lineRule="atLeast"/>
              <w:jc w:val="center"/>
              <w:textAlignment w:val="baseline"/>
            </w:pPr>
            <w:r>
              <w:rPr>
                <w:rFonts w:hint="eastAsia"/>
              </w:rPr>
              <w:t>职称</w:t>
            </w:r>
          </w:p>
        </w:tc>
        <w:tc>
          <w:tcPr>
            <w:tcW w:w="1980" w:type="dxa"/>
            <w:tcBorders>
              <w:top w:val="single" w:color="000000" w:sz="2" w:space="0"/>
              <w:left w:val="single" w:color="auto" w:sz="4" w:space="0"/>
              <w:bottom w:val="single" w:color="auto" w:sz="4" w:space="0"/>
              <w:right w:val="single" w:color="000000" w:sz="2" w:space="0"/>
            </w:tcBorders>
            <w:vAlign w:val="center"/>
          </w:tcPr>
          <w:p>
            <w:pPr>
              <w:snapToGrid w:val="0"/>
              <w:spacing w:line="379" w:lineRule="atLeast"/>
              <w:ind w:right="105"/>
              <w:jc w:val="center"/>
              <w:textAlignment w:val="baseline"/>
            </w:pPr>
            <w:r>
              <w:rPr>
                <w:rFonts w:hint="eastAsia"/>
              </w:rPr>
              <w:t>专业</w:t>
            </w:r>
          </w:p>
        </w:tc>
        <w:tc>
          <w:tcPr>
            <w:tcW w:w="2520" w:type="dxa"/>
            <w:tcBorders>
              <w:top w:val="single" w:color="000000" w:sz="2" w:space="0"/>
              <w:left w:val="single" w:color="auto" w:sz="4" w:space="0"/>
              <w:bottom w:val="single" w:color="auto" w:sz="4" w:space="0"/>
              <w:right w:val="single" w:color="000000" w:sz="2" w:space="0"/>
            </w:tcBorders>
            <w:vAlign w:val="center"/>
          </w:tcPr>
          <w:p>
            <w:pPr>
              <w:tabs>
                <w:tab w:val="left" w:pos="1155"/>
              </w:tabs>
              <w:snapToGrid w:val="0"/>
              <w:spacing w:line="379" w:lineRule="atLeast"/>
              <w:jc w:val="center"/>
              <w:textAlignment w:val="baseline"/>
            </w:pPr>
            <w:r>
              <w:rPr>
                <w:rFonts w:hint="eastAsia"/>
              </w:rPr>
              <w:t>所在单位</w:t>
            </w:r>
          </w:p>
        </w:tc>
        <w:tc>
          <w:tcPr>
            <w:tcW w:w="1330" w:type="dxa"/>
            <w:tcBorders>
              <w:top w:val="single" w:color="000000" w:sz="2" w:space="0"/>
              <w:left w:val="single" w:color="auto" w:sz="4" w:space="0"/>
              <w:bottom w:val="single" w:color="auto" w:sz="4" w:space="0"/>
              <w:right w:val="single" w:color="000000" w:sz="2" w:space="0"/>
            </w:tcBorders>
            <w:vAlign w:val="center"/>
          </w:tcPr>
          <w:p>
            <w:pPr>
              <w:tabs>
                <w:tab w:val="left" w:pos="1155"/>
              </w:tabs>
              <w:snapToGrid w:val="0"/>
              <w:spacing w:line="379" w:lineRule="atLeast"/>
              <w:jc w:val="center"/>
              <w:textAlignment w:val="baseline"/>
            </w:pPr>
            <w:r>
              <w:rPr>
                <w:rFonts w:hint="eastAsia"/>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1298" w:type="dxa"/>
            <w:tcBorders>
              <w:top w:val="single" w:color="auto" w:sz="4" w:space="0"/>
              <w:left w:val="single" w:color="000000" w:sz="2" w:space="0"/>
              <w:bottom w:val="single" w:color="auto" w:sz="4" w:space="0"/>
              <w:right w:val="single" w:color="auto" w:sz="4" w:space="0"/>
            </w:tcBorders>
            <w:vAlign w:val="center"/>
          </w:tcPr>
          <w:p>
            <w:pPr>
              <w:snapToGrid w:val="0"/>
              <w:spacing w:line="379" w:lineRule="atLeast"/>
              <w:jc w:val="center"/>
              <w:textAlignment w:val="baseline"/>
            </w:pPr>
          </w:p>
        </w:tc>
        <w:tc>
          <w:tcPr>
            <w:tcW w:w="144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pPr>
          </w:p>
        </w:tc>
        <w:tc>
          <w:tcPr>
            <w:tcW w:w="198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pPr>
          </w:p>
        </w:tc>
        <w:tc>
          <w:tcPr>
            <w:tcW w:w="252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pPr>
          </w:p>
        </w:tc>
        <w:tc>
          <w:tcPr>
            <w:tcW w:w="133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298" w:type="dxa"/>
            <w:tcBorders>
              <w:top w:val="single" w:color="auto" w:sz="4" w:space="0"/>
              <w:left w:val="single" w:color="000000" w:sz="2" w:space="0"/>
              <w:bottom w:val="single" w:color="auto" w:sz="4" w:space="0"/>
              <w:right w:val="single" w:color="auto" w:sz="4" w:space="0"/>
            </w:tcBorders>
            <w:vAlign w:val="center"/>
          </w:tcPr>
          <w:p>
            <w:pPr>
              <w:snapToGrid w:val="0"/>
              <w:spacing w:line="379" w:lineRule="atLeast"/>
              <w:jc w:val="center"/>
              <w:textAlignment w:val="baseline"/>
            </w:pPr>
          </w:p>
        </w:tc>
        <w:tc>
          <w:tcPr>
            <w:tcW w:w="144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pPr>
          </w:p>
        </w:tc>
        <w:tc>
          <w:tcPr>
            <w:tcW w:w="198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pPr>
          </w:p>
        </w:tc>
        <w:tc>
          <w:tcPr>
            <w:tcW w:w="252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pPr>
          </w:p>
        </w:tc>
        <w:tc>
          <w:tcPr>
            <w:tcW w:w="133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1298" w:type="dxa"/>
            <w:tcBorders>
              <w:top w:val="single" w:color="auto" w:sz="4" w:space="0"/>
              <w:left w:val="single" w:color="000000" w:sz="2" w:space="0"/>
              <w:bottom w:val="single" w:color="auto" w:sz="4" w:space="0"/>
              <w:right w:val="single" w:color="auto" w:sz="4" w:space="0"/>
            </w:tcBorders>
            <w:vAlign w:val="center"/>
          </w:tcPr>
          <w:p>
            <w:pPr>
              <w:snapToGrid w:val="0"/>
              <w:spacing w:line="379" w:lineRule="atLeast"/>
              <w:jc w:val="center"/>
              <w:textAlignment w:val="baseline"/>
              <w:rPr>
                <w:rFonts w:eastAsia="仿宋_GB2312"/>
                <w:spacing w:val="102"/>
              </w:rPr>
            </w:pPr>
          </w:p>
        </w:tc>
        <w:tc>
          <w:tcPr>
            <w:tcW w:w="144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rPr>
                <w:rFonts w:eastAsia="仿宋_GB2312"/>
                <w:spacing w:val="102"/>
              </w:rPr>
            </w:pPr>
          </w:p>
        </w:tc>
        <w:tc>
          <w:tcPr>
            <w:tcW w:w="198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rPr>
                <w:rFonts w:eastAsia="仿宋_GB2312"/>
                <w:spacing w:val="102"/>
              </w:rPr>
            </w:pPr>
          </w:p>
        </w:tc>
        <w:tc>
          <w:tcPr>
            <w:tcW w:w="252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rPr>
                <w:rFonts w:eastAsia="仿宋_GB2312"/>
                <w:spacing w:val="102"/>
              </w:rPr>
            </w:pPr>
          </w:p>
        </w:tc>
        <w:tc>
          <w:tcPr>
            <w:tcW w:w="1330" w:type="dxa"/>
            <w:tcBorders>
              <w:top w:val="single" w:color="auto" w:sz="4" w:space="0"/>
              <w:left w:val="single" w:color="auto" w:sz="4" w:space="0"/>
              <w:bottom w:val="single" w:color="auto" w:sz="4" w:space="0"/>
              <w:right w:val="single" w:color="000000" w:sz="2" w:space="0"/>
            </w:tcBorders>
            <w:vAlign w:val="center"/>
          </w:tcPr>
          <w:p>
            <w:pPr>
              <w:snapToGrid w:val="0"/>
              <w:spacing w:line="379" w:lineRule="atLeast"/>
              <w:jc w:val="center"/>
              <w:textAlignment w:val="baseline"/>
              <w:rPr>
                <w:rFonts w:eastAsia="仿宋_GB2312"/>
                <w:spacing w:val="10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6" w:hRule="atLeast"/>
        </w:trPr>
        <w:tc>
          <w:tcPr>
            <w:tcW w:w="8568" w:type="dxa"/>
            <w:gridSpan w:val="5"/>
            <w:tcBorders>
              <w:top w:val="single" w:color="auto" w:sz="4" w:space="0"/>
              <w:left w:val="single" w:color="000000" w:sz="2" w:space="0"/>
              <w:bottom w:val="single" w:color="000000" w:sz="2" w:space="0"/>
              <w:right w:val="single" w:color="000000" w:sz="2" w:space="0"/>
            </w:tcBorders>
          </w:tcPr>
          <w:p>
            <w:pPr>
              <w:widowControl/>
              <w:spacing w:before="175" w:after="102" w:line="566" w:lineRule="atLeast"/>
              <w:textAlignment w:val="baseline"/>
              <w:rPr>
                <w:rFonts w:eastAsia="黑体"/>
              </w:rPr>
            </w:pPr>
            <w:r>
              <w:rPr>
                <w:rFonts w:hint="eastAsia" w:eastAsia="仿宋_GB2312"/>
                <w:spacing w:val="102"/>
                <w:sz w:val="28"/>
              </w:rPr>
              <w:t>评审意见：</w:t>
            </w:r>
          </w:p>
          <w:p>
            <w:pPr>
              <w:widowControl/>
              <w:spacing w:line="640" w:lineRule="atLeast"/>
              <w:textAlignment w:val="baseline"/>
            </w:pPr>
          </w:p>
          <w:p>
            <w:pPr>
              <w:snapToGrid w:val="0"/>
              <w:spacing w:line="379" w:lineRule="atLeast"/>
              <w:jc w:val="center"/>
              <w:textAlignment w:val="baseline"/>
              <w:rPr>
                <w:rFonts w:eastAsia="仿宋_GB2312"/>
                <w:spacing w:val="102"/>
                <w:sz w:val="28"/>
              </w:rPr>
            </w:pPr>
          </w:p>
          <w:p>
            <w:pPr>
              <w:snapToGrid w:val="0"/>
              <w:spacing w:line="379" w:lineRule="atLeast"/>
              <w:jc w:val="center"/>
              <w:textAlignment w:val="baseline"/>
              <w:rPr>
                <w:rFonts w:eastAsia="仿宋_GB2312"/>
                <w:spacing w:val="102"/>
                <w:sz w:val="28"/>
              </w:rPr>
            </w:pPr>
            <w:r>
              <w:rPr>
                <w:rFonts w:hint="eastAsia" w:eastAsia="仿宋_GB2312"/>
                <w:spacing w:val="102"/>
                <w:sz w:val="28"/>
              </w:rPr>
              <w:t>负责人（签字）</w:t>
            </w:r>
          </w:p>
          <w:p>
            <w:pPr>
              <w:snapToGrid w:val="0"/>
              <w:spacing w:line="379" w:lineRule="atLeast"/>
              <w:jc w:val="right"/>
              <w:textAlignment w:val="baseline"/>
            </w:pPr>
            <w:r>
              <w:rPr>
                <w:rFonts w:eastAsia="仿宋_GB2312"/>
                <w:spacing w:val="102"/>
                <w:sz w:val="28"/>
              </w:rPr>
              <w:t xml:space="preserve">                              </w:t>
            </w:r>
            <w:r>
              <w:rPr>
                <w:rFonts w:hint="eastAsia" w:eastAsia="仿宋_GB2312"/>
                <w:spacing w:val="102"/>
                <w:sz w:val="28"/>
              </w:rPr>
              <w:t>年</w:t>
            </w:r>
            <w:r>
              <w:rPr>
                <w:rFonts w:eastAsia="仿宋_GB2312"/>
                <w:spacing w:val="102"/>
                <w:sz w:val="28"/>
              </w:rPr>
              <w:t xml:space="preserve"> </w:t>
            </w:r>
            <w:r>
              <w:rPr>
                <w:rFonts w:hint="eastAsia" w:eastAsia="仿宋_GB2312"/>
                <w:spacing w:val="102"/>
                <w:sz w:val="28"/>
              </w:rPr>
              <w:t>月</w:t>
            </w:r>
            <w:r>
              <w:rPr>
                <w:rFonts w:eastAsia="仿宋_GB2312"/>
                <w:spacing w:val="102"/>
                <w:sz w:val="28"/>
              </w:rPr>
              <w:t xml:space="preserve"> </w:t>
            </w:r>
            <w:r>
              <w:rPr>
                <w:rFonts w:hint="eastAsia" w:eastAsia="仿宋_GB2312"/>
                <w:spacing w:val="102"/>
                <w:sz w:val="28"/>
              </w:rPr>
              <w:t>日</w:t>
            </w:r>
          </w:p>
          <w:p>
            <w:pPr>
              <w:snapToGrid w:val="0"/>
              <w:spacing w:line="379" w:lineRule="atLeast"/>
              <w:jc w:val="right"/>
              <w:textAlignment w:val="baseline"/>
              <w:rPr>
                <w:rFonts w:eastAsia="仿宋_GB2312"/>
                <w:spacing w:val="102"/>
              </w:rPr>
            </w:pPr>
          </w:p>
        </w:tc>
      </w:tr>
    </w:tbl>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r>
        <w:rPr>
          <w:rFonts w:hint="eastAsia" w:eastAsia="仿宋_GB2312"/>
          <w:sz w:val="28"/>
        </w:rPr>
        <w:t>七、学校意见</w:t>
      </w:r>
    </w:p>
    <w:tbl>
      <w:tblPr>
        <w:tblStyle w:val="7"/>
        <w:tblpPr w:leftFromText="180" w:rightFromText="180" w:vertAnchor="text" w:horzAnchor="margin" w:tblpX="98" w:tblpY="2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5" w:hRule="atLeast"/>
        </w:trPr>
        <w:tc>
          <w:tcPr>
            <w:tcW w:w="8993" w:type="dxa"/>
            <w:tcBorders>
              <w:top w:val="single" w:color="000000" w:sz="2" w:space="0"/>
              <w:left w:val="single" w:color="000000" w:sz="2" w:space="0"/>
              <w:bottom w:val="single" w:color="000000" w:sz="2" w:space="0"/>
              <w:right w:val="single" w:color="000000" w:sz="2" w:space="0"/>
            </w:tcBorders>
          </w:tcPr>
          <w:p>
            <w:pPr>
              <w:snapToGrid w:val="0"/>
              <w:spacing w:line="391" w:lineRule="atLeast"/>
              <w:textAlignment w:val="baseline"/>
            </w:pPr>
          </w:p>
          <w:p>
            <w:pPr>
              <w:snapToGrid w:val="0"/>
              <w:spacing w:line="391" w:lineRule="atLeast"/>
              <w:textAlignment w:val="baseline"/>
            </w:pPr>
          </w:p>
          <w:p>
            <w:pPr>
              <w:snapToGrid w:val="0"/>
              <w:spacing w:line="379" w:lineRule="atLeast"/>
              <w:ind w:firstLine="3630" w:firstLineChars="750"/>
              <w:textAlignment w:val="baseline"/>
              <w:rPr>
                <w:rFonts w:eastAsia="仿宋_GB2312"/>
                <w:spacing w:val="102"/>
                <w:sz w:val="28"/>
              </w:rPr>
            </w:pPr>
          </w:p>
          <w:p>
            <w:pPr>
              <w:snapToGrid w:val="0"/>
              <w:spacing w:line="379" w:lineRule="atLeast"/>
              <w:ind w:firstLine="3630" w:firstLineChars="750"/>
              <w:textAlignment w:val="baseline"/>
              <w:rPr>
                <w:rFonts w:eastAsia="仿宋_GB2312"/>
                <w:spacing w:val="102"/>
                <w:sz w:val="28"/>
              </w:rPr>
            </w:pPr>
          </w:p>
          <w:p>
            <w:pPr>
              <w:snapToGrid w:val="0"/>
              <w:spacing w:line="379" w:lineRule="atLeast"/>
              <w:ind w:firstLine="3630" w:firstLineChars="750"/>
              <w:textAlignment w:val="baseline"/>
              <w:rPr>
                <w:rFonts w:eastAsia="仿宋_GB2312"/>
                <w:spacing w:val="102"/>
                <w:sz w:val="28"/>
              </w:rPr>
            </w:pPr>
          </w:p>
          <w:p>
            <w:pPr>
              <w:snapToGrid w:val="0"/>
              <w:spacing w:line="379" w:lineRule="atLeast"/>
              <w:ind w:firstLine="3630" w:firstLineChars="750"/>
              <w:textAlignment w:val="baseline"/>
              <w:rPr>
                <w:rFonts w:eastAsia="仿宋_GB2312"/>
                <w:spacing w:val="102"/>
                <w:sz w:val="28"/>
              </w:rPr>
            </w:pPr>
          </w:p>
          <w:p>
            <w:pPr>
              <w:snapToGrid w:val="0"/>
              <w:spacing w:line="379" w:lineRule="atLeast"/>
              <w:ind w:firstLine="3630" w:firstLineChars="750"/>
              <w:textAlignment w:val="baseline"/>
              <w:rPr>
                <w:rFonts w:eastAsia="仿宋_GB2312"/>
                <w:spacing w:val="102"/>
                <w:sz w:val="28"/>
              </w:rPr>
            </w:pPr>
          </w:p>
          <w:p>
            <w:pPr>
              <w:snapToGrid w:val="0"/>
              <w:spacing w:line="379" w:lineRule="atLeast"/>
              <w:ind w:firstLine="3630" w:firstLineChars="750"/>
              <w:textAlignment w:val="baseline"/>
              <w:rPr>
                <w:rFonts w:eastAsia="仿宋_GB2312"/>
                <w:spacing w:val="102"/>
                <w:sz w:val="28"/>
              </w:rPr>
            </w:pPr>
          </w:p>
          <w:p>
            <w:pPr>
              <w:snapToGrid w:val="0"/>
              <w:spacing w:line="379" w:lineRule="atLeast"/>
              <w:ind w:firstLine="3630" w:firstLineChars="750"/>
              <w:textAlignment w:val="baseline"/>
              <w:rPr>
                <w:rFonts w:eastAsia="仿宋_GB2312"/>
                <w:spacing w:val="102"/>
                <w:sz w:val="28"/>
              </w:rPr>
            </w:pPr>
          </w:p>
          <w:p>
            <w:pPr>
              <w:snapToGrid w:val="0"/>
              <w:spacing w:line="379" w:lineRule="atLeast"/>
              <w:ind w:firstLine="3630" w:firstLineChars="750"/>
              <w:textAlignment w:val="baseline"/>
              <w:rPr>
                <w:rFonts w:eastAsia="仿宋_GB2312"/>
                <w:spacing w:val="102"/>
                <w:sz w:val="28"/>
              </w:rPr>
            </w:pPr>
          </w:p>
          <w:p>
            <w:pPr>
              <w:snapToGrid w:val="0"/>
              <w:spacing w:line="379" w:lineRule="atLeast"/>
              <w:ind w:firstLine="3630" w:firstLineChars="750"/>
              <w:textAlignment w:val="baseline"/>
              <w:rPr>
                <w:rFonts w:eastAsia="仿宋_GB2312"/>
                <w:spacing w:val="102"/>
                <w:sz w:val="28"/>
              </w:rPr>
            </w:pPr>
          </w:p>
          <w:p>
            <w:pPr>
              <w:snapToGrid w:val="0"/>
              <w:spacing w:line="379" w:lineRule="atLeast"/>
              <w:ind w:firstLine="3630" w:firstLineChars="750"/>
              <w:textAlignment w:val="baseline"/>
              <w:rPr>
                <w:rFonts w:eastAsia="仿宋_GB2312"/>
                <w:spacing w:val="102"/>
                <w:sz w:val="28"/>
              </w:rPr>
            </w:pPr>
          </w:p>
          <w:p>
            <w:pPr>
              <w:snapToGrid w:val="0"/>
              <w:spacing w:line="379" w:lineRule="atLeast"/>
              <w:ind w:firstLine="5566" w:firstLineChars="1150"/>
              <w:textAlignment w:val="baseline"/>
              <w:rPr>
                <w:rFonts w:eastAsia="仿宋_GB2312"/>
                <w:spacing w:val="102"/>
                <w:sz w:val="28"/>
              </w:rPr>
            </w:pPr>
            <w:r>
              <w:rPr>
                <w:rFonts w:hint="eastAsia" w:eastAsia="仿宋_GB2312"/>
                <w:spacing w:val="102"/>
                <w:sz w:val="28"/>
              </w:rPr>
              <w:t>学校（公章）</w:t>
            </w:r>
          </w:p>
          <w:p>
            <w:pPr>
              <w:snapToGrid w:val="0"/>
              <w:spacing w:line="379" w:lineRule="atLeast"/>
              <w:jc w:val="center"/>
              <w:textAlignment w:val="baseline"/>
            </w:pPr>
            <w:r>
              <w:rPr>
                <w:rFonts w:eastAsia="仿宋_GB2312"/>
                <w:spacing w:val="102"/>
                <w:sz w:val="28"/>
              </w:rPr>
              <w:t xml:space="preserve">              </w:t>
            </w:r>
            <w:r>
              <w:rPr>
                <w:rFonts w:hint="eastAsia" w:eastAsia="仿宋_GB2312"/>
                <w:spacing w:val="102"/>
                <w:sz w:val="28"/>
              </w:rPr>
              <w:t>年</w:t>
            </w:r>
            <w:r>
              <w:rPr>
                <w:rFonts w:eastAsia="仿宋_GB2312"/>
                <w:spacing w:val="102"/>
                <w:sz w:val="28"/>
              </w:rPr>
              <w:t xml:space="preserve"> </w:t>
            </w:r>
            <w:r>
              <w:rPr>
                <w:rFonts w:hint="eastAsia" w:eastAsia="仿宋_GB2312"/>
                <w:spacing w:val="102"/>
                <w:sz w:val="28"/>
              </w:rPr>
              <w:t>月</w:t>
            </w:r>
            <w:r>
              <w:rPr>
                <w:rFonts w:eastAsia="仿宋_GB2312"/>
                <w:spacing w:val="102"/>
                <w:sz w:val="28"/>
              </w:rPr>
              <w:t xml:space="preserve"> </w:t>
            </w:r>
            <w:r>
              <w:rPr>
                <w:rFonts w:hint="eastAsia" w:eastAsia="仿宋_GB2312"/>
                <w:spacing w:val="102"/>
                <w:sz w:val="28"/>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29A483E"/>
    <w:rsid w:val="00000B51"/>
    <w:rsid w:val="00007CBA"/>
    <w:rsid w:val="00021E6B"/>
    <w:rsid w:val="00024068"/>
    <w:rsid w:val="000305E5"/>
    <w:rsid w:val="00030EA7"/>
    <w:rsid w:val="0003218A"/>
    <w:rsid w:val="000343F4"/>
    <w:rsid w:val="00035FEA"/>
    <w:rsid w:val="00036D36"/>
    <w:rsid w:val="00037A7A"/>
    <w:rsid w:val="00056BCB"/>
    <w:rsid w:val="00085E3B"/>
    <w:rsid w:val="00092BE2"/>
    <w:rsid w:val="000A2FAD"/>
    <w:rsid w:val="000B4469"/>
    <w:rsid w:val="000B5890"/>
    <w:rsid w:val="000B7300"/>
    <w:rsid w:val="000C2DE1"/>
    <w:rsid w:val="000C418A"/>
    <w:rsid w:val="000D02B5"/>
    <w:rsid w:val="000E192B"/>
    <w:rsid w:val="000E49D4"/>
    <w:rsid w:val="00113556"/>
    <w:rsid w:val="00124095"/>
    <w:rsid w:val="00125806"/>
    <w:rsid w:val="00130807"/>
    <w:rsid w:val="00152B5C"/>
    <w:rsid w:val="00153DB6"/>
    <w:rsid w:val="00160671"/>
    <w:rsid w:val="00163884"/>
    <w:rsid w:val="00165709"/>
    <w:rsid w:val="00184146"/>
    <w:rsid w:val="0018518D"/>
    <w:rsid w:val="00193670"/>
    <w:rsid w:val="00193695"/>
    <w:rsid w:val="001B1E9B"/>
    <w:rsid w:val="001C5B66"/>
    <w:rsid w:val="001D2116"/>
    <w:rsid w:val="001E13F2"/>
    <w:rsid w:val="001E19C3"/>
    <w:rsid w:val="001E20A1"/>
    <w:rsid w:val="00201A52"/>
    <w:rsid w:val="002048F8"/>
    <w:rsid w:val="0021335A"/>
    <w:rsid w:val="00234227"/>
    <w:rsid w:val="00237252"/>
    <w:rsid w:val="00241BF3"/>
    <w:rsid w:val="00272F25"/>
    <w:rsid w:val="00273C6F"/>
    <w:rsid w:val="002934A4"/>
    <w:rsid w:val="002A1CEB"/>
    <w:rsid w:val="002B0160"/>
    <w:rsid w:val="002B6F5B"/>
    <w:rsid w:val="002C1C66"/>
    <w:rsid w:val="002C7FC6"/>
    <w:rsid w:val="002D074E"/>
    <w:rsid w:val="002D5B3D"/>
    <w:rsid w:val="002E31DA"/>
    <w:rsid w:val="002F4A8F"/>
    <w:rsid w:val="002F52E7"/>
    <w:rsid w:val="002F5A61"/>
    <w:rsid w:val="002F63E8"/>
    <w:rsid w:val="00311B40"/>
    <w:rsid w:val="0031752E"/>
    <w:rsid w:val="00355B48"/>
    <w:rsid w:val="00372881"/>
    <w:rsid w:val="003734DB"/>
    <w:rsid w:val="00376387"/>
    <w:rsid w:val="003773E4"/>
    <w:rsid w:val="003863CF"/>
    <w:rsid w:val="003D08BA"/>
    <w:rsid w:val="003D2E23"/>
    <w:rsid w:val="003D4EA0"/>
    <w:rsid w:val="003E4641"/>
    <w:rsid w:val="003E5660"/>
    <w:rsid w:val="003F4685"/>
    <w:rsid w:val="004428FC"/>
    <w:rsid w:val="00447F02"/>
    <w:rsid w:val="00452131"/>
    <w:rsid w:val="00453AE1"/>
    <w:rsid w:val="00464700"/>
    <w:rsid w:val="00466839"/>
    <w:rsid w:val="004668B7"/>
    <w:rsid w:val="00474619"/>
    <w:rsid w:val="00483CC1"/>
    <w:rsid w:val="00487E1A"/>
    <w:rsid w:val="004B1237"/>
    <w:rsid w:val="004B2649"/>
    <w:rsid w:val="004B380D"/>
    <w:rsid w:val="004B63AC"/>
    <w:rsid w:val="004C73F0"/>
    <w:rsid w:val="004E29CC"/>
    <w:rsid w:val="004E4845"/>
    <w:rsid w:val="00524B89"/>
    <w:rsid w:val="00524B8B"/>
    <w:rsid w:val="00542833"/>
    <w:rsid w:val="00547E22"/>
    <w:rsid w:val="00572D8A"/>
    <w:rsid w:val="00575B0B"/>
    <w:rsid w:val="0059382A"/>
    <w:rsid w:val="005A0A10"/>
    <w:rsid w:val="005A2B29"/>
    <w:rsid w:val="005B4101"/>
    <w:rsid w:val="005B4A5A"/>
    <w:rsid w:val="005C061F"/>
    <w:rsid w:val="005D20BB"/>
    <w:rsid w:val="005D62BD"/>
    <w:rsid w:val="005E60AD"/>
    <w:rsid w:val="00604ECE"/>
    <w:rsid w:val="00605DA5"/>
    <w:rsid w:val="00624267"/>
    <w:rsid w:val="00625E03"/>
    <w:rsid w:val="00634547"/>
    <w:rsid w:val="00653373"/>
    <w:rsid w:val="006746DE"/>
    <w:rsid w:val="00680ED6"/>
    <w:rsid w:val="0068231F"/>
    <w:rsid w:val="006915BB"/>
    <w:rsid w:val="006933C0"/>
    <w:rsid w:val="00693AD2"/>
    <w:rsid w:val="00693D7F"/>
    <w:rsid w:val="006964DE"/>
    <w:rsid w:val="00696C8E"/>
    <w:rsid w:val="00696D98"/>
    <w:rsid w:val="006B21A7"/>
    <w:rsid w:val="006B4A84"/>
    <w:rsid w:val="006C3EF0"/>
    <w:rsid w:val="006D38B3"/>
    <w:rsid w:val="006D588F"/>
    <w:rsid w:val="006E7C9F"/>
    <w:rsid w:val="006F042D"/>
    <w:rsid w:val="00703CAA"/>
    <w:rsid w:val="00704667"/>
    <w:rsid w:val="00715759"/>
    <w:rsid w:val="00722AB2"/>
    <w:rsid w:val="00727AD5"/>
    <w:rsid w:val="00730C19"/>
    <w:rsid w:val="00731325"/>
    <w:rsid w:val="007328AE"/>
    <w:rsid w:val="00757B13"/>
    <w:rsid w:val="0076001D"/>
    <w:rsid w:val="00763473"/>
    <w:rsid w:val="00772B35"/>
    <w:rsid w:val="007738A7"/>
    <w:rsid w:val="00781BF5"/>
    <w:rsid w:val="0079641A"/>
    <w:rsid w:val="007A3F6B"/>
    <w:rsid w:val="007A4797"/>
    <w:rsid w:val="007B4B3D"/>
    <w:rsid w:val="007C3616"/>
    <w:rsid w:val="007E4C53"/>
    <w:rsid w:val="007E642B"/>
    <w:rsid w:val="007F009C"/>
    <w:rsid w:val="007F32C6"/>
    <w:rsid w:val="007F4011"/>
    <w:rsid w:val="007F48DD"/>
    <w:rsid w:val="0080388A"/>
    <w:rsid w:val="00810189"/>
    <w:rsid w:val="00814597"/>
    <w:rsid w:val="0082485F"/>
    <w:rsid w:val="00835B5B"/>
    <w:rsid w:val="00836A7E"/>
    <w:rsid w:val="00844C07"/>
    <w:rsid w:val="00852BA2"/>
    <w:rsid w:val="008769BC"/>
    <w:rsid w:val="00880D32"/>
    <w:rsid w:val="00891149"/>
    <w:rsid w:val="008A2AB9"/>
    <w:rsid w:val="008A5012"/>
    <w:rsid w:val="008C5066"/>
    <w:rsid w:val="008C7619"/>
    <w:rsid w:val="008D38D3"/>
    <w:rsid w:val="008E76ED"/>
    <w:rsid w:val="009013D3"/>
    <w:rsid w:val="009135F8"/>
    <w:rsid w:val="00917473"/>
    <w:rsid w:val="00917A36"/>
    <w:rsid w:val="00925905"/>
    <w:rsid w:val="0092717C"/>
    <w:rsid w:val="009306A6"/>
    <w:rsid w:val="00951BA1"/>
    <w:rsid w:val="00956EE2"/>
    <w:rsid w:val="009655C0"/>
    <w:rsid w:val="00974324"/>
    <w:rsid w:val="00975291"/>
    <w:rsid w:val="00984BB9"/>
    <w:rsid w:val="00996060"/>
    <w:rsid w:val="009969A6"/>
    <w:rsid w:val="009B185F"/>
    <w:rsid w:val="009C0945"/>
    <w:rsid w:val="009C3E2E"/>
    <w:rsid w:val="009D194A"/>
    <w:rsid w:val="009D6CD9"/>
    <w:rsid w:val="009E19A7"/>
    <w:rsid w:val="009E417B"/>
    <w:rsid w:val="009E448C"/>
    <w:rsid w:val="009E5219"/>
    <w:rsid w:val="009F0717"/>
    <w:rsid w:val="00A14DE5"/>
    <w:rsid w:val="00A20863"/>
    <w:rsid w:val="00A22597"/>
    <w:rsid w:val="00A33926"/>
    <w:rsid w:val="00A3579B"/>
    <w:rsid w:val="00A42D36"/>
    <w:rsid w:val="00A54D51"/>
    <w:rsid w:val="00A60ACE"/>
    <w:rsid w:val="00A70CC1"/>
    <w:rsid w:val="00A901E9"/>
    <w:rsid w:val="00A90473"/>
    <w:rsid w:val="00AA62EA"/>
    <w:rsid w:val="00AB7E8B"/>
    <w:rsid w:val="00AC7728"/>
    <w:rsid w:val="00AD0A68"/>
    <w:rsid w:val="00AD4303"/>
    <w:rsid w:val="00AE5DC8"/>
    <w:rsid w:val="00B00B26"/>
    <w:rsid w:val="00B01E09"/>
    <w:rsid w:val="00B061F0"/>
    <w:rsid w:val="00B20341"/>
    <w:rsid w:val="00B238E8"/>
    <w:rsid w:val="00B24E88"/>
    <w:rsid w:val="00B2678D"/>
    <w:rsid w:val="00B26A09"/>
    <w:rsid w:val="00B41972"/>
    <w:rsid w:val="00B4481A"/>
    <w:rsid w:val="00B44C66"/>
    <w:rsid w:val="00B56176"/>
    <w:rsid w:val="00B6694F"/>
    <w:rsid w:val="00B770C7"/>
    <w:rsid w:val="00B80D5F"/>
    <w:rsid w:val="00B84859"/>
    <w:rsid w:val="00B95C50"/>
    <w:rsid w:val="00BA1BA9"/>
    <w:rsid w:val="00BB09A4"/>
    <w:rsid w:val="00BB1427"/>
    <w:rsid w:val="00BC11C6"/>
    <w:rsid w:val="00BD37CD"/>
    <w:rsid w:val="00BE6F72"/>
    <w:rsid w:val="00C1334B"/>
    <w:rsid w:val="00C138EB"/>
    <w:rsid w:val="00C34C9E"/>
    <w:rsid w:val="00C34CB7"/>
    <w:rsid w:val="00C539FF"/>
    <w:rsid w:val="00C55433"/>
    <w:rsid w:val="00C63E70"/>
    <w:rsid w:val="00C64A04"/>
    <w:rsid w:val="00C65EF2"/>
    <w:rsid w:val="00C878EA"/>
    <w:rsid w:val="00C902F7"/>
    <w:rsid w:val="00CA2F16"/>
    <w:rsid w:val="00CA6319"/>
    <w:rsid w:val="00CB1C07"/>
    <w:rsid w:val="00CB79C1"/>
    <w:rsid w:val="00CC0D85"/>
    <w:rsid w:val="00CE2FD6"/>
    <w:rsid w:val="00CF0CAE"/>
    <w:rsid w:val="00CF72F8"/>
    <w:rsid w:val="00D20E34"/>
    <w:rsid w:val="00D27F31"/>
    <w:rsid w:val="00D402F8"/>
    <w:rsid w:val="00D454A3"/>
    <w:rsid w:val="00D46891"/>
    <w:rsid w:val="00D47971"/>
    <w:rsid w:val="00D51479"/>
    <w:rsid w:val="00D73136"/>
    <w:rsid w:val="00D751B2"/>
    <w:rsid w:val="00D90708"/>
    <w:rsid w:val="00DB3C71"/>
    <w:rsid w:val="00DD278D"/>
    <w:rsid w:val="00DD309A"/>
    <w:rsid w:val="00DD4027"/>
    <w:rsid w:val="00DE1267"/>
    <w:rsid w:val="00DF04D7"/>
    <w:rsid w:val="00DF26AF"/>
    <w:rsid w:val="00DF7567"/>
    <w:rsid w:val="00E13CE9"/>
    <w:rsid w:val="00E204B3"/>
    <w:rsid w:val="00E23F3B"/>
    <w:rsid w:val="00E2493D"/>
    <w:rsid w:val="00E31FAF"/>
    <w:rsid w:val="00E509B5"/>
    <w:rsid w:val="00E53AC0"/>
    <w:rsid w:val="00E6029E"/>
    <w:rsid w:val="00E63625"/>
    <w:rsid w:val="00E66B66"/>
    <w:rsid w:val="00E70CB6"/>
    <w:rsid w:val="00E72FAA"/>
    <w:rsid w:val="00E8600D"/>
    <w:rsid w:val="00E90A02"/>
    <w:rsid w:val="00EA53F8"/>
    <w:rsid w:val="00EC7434"/>
    <w:rsid w:val="00ED70B1"/>
    <w:rsid w:val="00EE5FB9"/>
    <w:rsid w:val="00F1698C"/>
    <w:rsid w:val="00F24225"/>
    <w:rsid w:val="00F30518"/>
    <w:rsid w:val="00F3269F"/>
    <w:rsid w:val="00F407AB"/>
    <w:rsid w:val="00F50FB7"/>
    <w:rsid w:val="00F5509D"/>
    <w:rsid w:val="00F825E7"/>
    <w:rsid w:val="00FA27D0"/>
    <w:rsid w:val="00FA4817"/>
    <w:rsid w:val="00FA6464"/>
    <w:rsid w:val="00FA7335"/>
    <w:rsid w:val="00FD0F33"/>
    <w:rsid w:val="00FD27E5"/>
    <w:rsid w:val="00FE0C4A"/>
    <w:rsid w:val="00FE7A1F"/>
    <w:rsid w:val="13B507D1"/>
    <w:rsid w:val="27F243DA"/>
    <w:rsid w:val="629A483E"/>
    <w:rsid w:val="797C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eastAsia="仿宋_GB2312"/>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标题 1 Char"/>
    <w:basedOn w:val="8"/>
    <w:link w:val="2"/>
    <w:qFormat/>
    <w:uiPriority w:val="0"/>
    <w:rPr>
      <w:rFonts w:ascii="Times New Roman" w:hAnsi="Times New Roman" w:eastAsia="仿宋_GB2312"/>
      <w:b/>
      <w:bCs/>
      <w:kern w:val="44"/>
      <w:sz w:val="44"/>
      <w:szCs w:val="44"/>
    </w:rPr>
  </w:style>
  <w:style w:type="paragraph" w:styleId="10">
    <w:name w:val="List Paragraph"/>
    <w:basedOn w:val="1"/>
    <w:unhideWhenUsed/>
    <w:qFormat/>
    <w:uiPriority w:val="99"/>
    <w:pPr>
      <w:ind w:firstLine="420" w:firstLineChars="200"/>
    </w:pPr>
  </w:style>
  <w:style w:type="paragraph" w:customStyle="1" w:styleId="11">
    <w:name w:val="Table Paragraph"/>
    <w:basedOn w:val="1"/>
    <w:qFormat/>
    <w:uiPriority w:val="1"/>
    <w:pPr>
      <w:autoSpaceDE w:val="0"/>
      <w:autoSpaceDN w:val="0"/>
      <w:jc w:val="left"/>
    </w:pPr>
    <w:rPr>
      <w:rFonts w:ascii="仿宋_GB2312" w:hAnsi="仿宋_GB2312" w:eastAsia="仿宋_GB2312" w:cs="仿宋_GB2312"/>
      <w:kern w:val="0"/>
      <w:sz w:val="22"/>
      <w:lang w:val="zh-CN" w:bidi="zh-CN"/>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27C78-C2CA-4F0D-97F1-C2E3911BCD94}">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1482</Words>
  <Characters>8450</Characters>
  <Lines>70</Lines>
  <Paragraphs>19</Paragraphs>
  <TotalTime>1002</TotalTime>
  <ScaleCrop>false</ScaleCrop>
  <LinksUpToDate>false</LinksUpToDate>
  <CharactersWithSpaces>9913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2019-11-15T01:04:00Z</dcterms:created>
  <dc:creator>pomereo</dc:creator>
  <cp:lastModifiedBy>pomereo</cp:lastModifiedBy>
  <dcterms:modified xsi:type="dcterms:W3CDTF">2019-12-11T06:35:33Z</dcterms:modified>
  <cp:revision>775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