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keepNext/>
        <w:keepLines/>
        <w:spacing w:before="120" w:after="120"/>
        <w:jc w:val="center"/>
        <w:outlineLvl w:val="0"/>
        <w:rPr>
          <w:rFonts w:hint="eastAsia" w:ascii="方正小标宋简体" w:hAnsi="Times New Roman" w:eastAsia="方正小标宋简体"/>
          <w:bCs/>
          <w:color w:val="000000"/>
          <w:kern w:val="44"/>
          <w:sz w:val="32"/>
          <w:szCs w:val="32"/>
        </w:rPr>
      </w:pPr>
      <w:bookmarkStart w:id="2" w:name="_GoBack"/>
      <w:r>
        <w:rPr>
          <w:rFonts w:hint="eastAsia" w:ascii="方正小标宋简体" w:hAnsi="宋体" w:eastAsia="方正小标宋简体"/>
          <w:bCs/>
          <w:color w:val="000000"/>
          <w:kern w:val="44"/>
          <w:sz w:val="32"/>
          <w:szCs w:val="32"/>
        </w:rPr>
        <w:t>浙江省普通高等学校本科“十三五”优势特色专业评估指标体系</w:t>
      </w:r>
    </w:p>
    <w:bookmarkEnd w:id="2"/>
    <w:tbl>
      <w:tblPr>
        <w:tblStyle w:val="2"/>
        <w:tblW w:w="1030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976"/>
        <w:gridCol w:w="70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tblHeader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一级指标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二级指标</w:t>
            </w:r>
          </w:p>
        </w:tc>
        <w:tc>
          <w:tcPr>
            <w:tcW w:w="7018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主要观测点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311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宋体"/>
                <w:szCs w:val="21"/>
              </w:rPr>
              <w:t>定位与目标</w:t>
            </w: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1.1</w:t>
            </w:r>
            <w:r>
              <w:rPr>
                <w:rFonts w:ascii="Times New Roman" w:hAnsi="宋体"/>
                <w:szCs w:val="21"/>
              </w:rPr>
              <w:t>专业定位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(1</w:t>
            </w:r>
            <w:r>
              <w:rPr>
                <w:rFonts w:ascii="Times New Roman" w:hAnsi="宋体"/>
                <w:szCs w:val="21"/>
              </w:rPr>
              <w:t>）专业定位与学校办学定位的符合度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）人才培养定位与经济社会发展需求的适应度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  <w:r>
              <w:rPr>
                <w:rFonts w:ascii="Times New Roman" w:hAnsi="宋体"/>
                <w:szCs w:val="21"/>
              </w:rPr>
              <w:t>培养目标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）培养方案、课程设置、课程教学大纲与建设目标的符合度。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）有明确的、可实施的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宋体"/>
                <w:szCs w:val="21"/>
              </w:rPr>
              <w:t>知识、能力、素质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宋体"/>
                <w:szCs w:val="21"/>
              </w:rPr>
              <w:t>培养标准及培养措施。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）培养目标的达成度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311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宋体"/>
                <w:szCs w:val="21"/>
              </w:rPr>
              <w:t>师资队伍</w:t>
            </w: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  <w:r>
              <w:rPr>
                <w:rFonts w:ascii="Times New Roman" w:hAnsi="宋体"/>
                <w:szCs w:val="21"/>
              </w:rPr>
              <w:t>数量与结构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）专任教师的数量及年龄、职称、学位、学历的分布情况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）生师比、博士学位教师（双师型教师）比例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）兼职教师情况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）新增专任教师及教师队伍变化情况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</w:t>
            </w:r>
            <w:r>
              <w:rPr>
                <w:rFonts w:ascii="Times New Roman" w:hAnsi="宋体"/>
                <w:szCs w:val="21"/>
              </w:rPr>
              <w:t>教育教学水平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）专业负责人及其履职情况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）专任教师的专业水平与教学能力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）教学名师及教学团队建设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  <w:r>
              <w:rPr>
                <w:rFonts w:ascii="Times New Roman" w:hAnsi="宋体"/>
                <w:szCs w:val="21"/>
              </w:rPr>
              <w:t>教师教学投入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）教授、副教授为本科生上课情况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）教师开展教学研究、参与教学改革与建设情况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  <w:r>
              <w:rPr>
                <w:rFonts w:ascii="Times New Roman" w:hAnsi="宋体"/>
                <w:szCs w:val="21"/>
              </w:rPr>
              <w:t>教师发展与服务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）提升教师教学能力和专业水平的政策措施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）青年教师助讲培养情况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）专任教师国内外访学和挂职锻炼情况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3" w:hRule="atLeast"/>
          <w:jc w:val="center"/>
        </w:trPr>
        <w:tc>
          <w:tcPr>
            <w:tcW w:w="1311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宋体"/>
                <w:szCs w:val="21"/>
              </w:rPr>
              <w:t>教学资源</w:t>
            </w: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</w:t>
            </w:r>
            <w:r>
              <w:rPr>
                <w:rFonts w:ascii="Times New Roman" w:hAnsi="宋体"/>
                <w:szCs w:val="21"/>
              </w:rPr>
              <w:t>经费投入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）学校和学院专业建设经费投入及年度增长情况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）专业建设经费分配方式、比例及使用效益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）实践教学经费投入及使用情况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3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3.2</w:t>
            </w:r>
            <w:r>
              <w:rPr>
                <w:rFonts w:ascii="Times New Roman" w:hAnsi="宋体"/>
                <w:szCs w:val="21"/>
              </w:rPr>
              <w:t>教学设施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）教学设施满足专业教学需要情况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）教学、科研设施的开放程度及利用情况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）教学信息化条件及资源建设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6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宋体"/>
                <w:szCs w:val="21"/>
              </w:rPr>
              <w:t>课程资源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）课程建设规划与执行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）课程的数量、结构及优质课程资源（含在线开放课程）建设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）教材建设与选用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3.4</w:t>
            </w:r>
            <w:r>
              <w:rPr>
                <w:rFonts w:ascii="Times New Roman" w:hAnsi="宋体"/>
                <w:szCs w:val="21"/>
              </w:rPr>
              <w:t>社会资源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）合作办学、合作育人的措施与效果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）共建教学资源情况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）社会捐赠情况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13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宋体"/>
                <w:szCs w:val="21"/>
              </w:rPr>
              <w:t>培养过程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4.1</w:t>
            </w:r>
            <w:r>
              <w:rPr>
                <w:rFonts w:ascii="Times New Roman" w:hAnsi="宋体"/>
                <w:szCs w:val="21"/>
              </w:rPr>
              <w:t>培养方案</w:t>
            </w:r>
          </w:p>
        </w:tc>
        <w:tc>
          <w:tcPr>
            <w:tcW w:w="7018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）专业培养方案的制订、执行与调整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）专业建设工作委员会建设及行业企业专家参与情况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</w:t>
            </w:r>
            <w:r>
              <w:rPr>
                <w:rFonts w:ascii="Times New Roman" w:hAnsi="宋体"/>
                <w:szCs w:val="21"/>
              </w:rPr>
              <w:t>教学改革</w:t>
            </w:r>
          </w:p>
        </w:tc>
        <w:tc>
          <w:tcPr>
            <w:tcW w:w="7018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）教学改革的措施及效果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）人才培养模式改革，人才培养机制创新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）创新创业教育与专业教育融合情况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szCs w:val="21"/>
              </w:rPr>
              <w:t>学科、</w:t>
            </w:r>
            <w:r>
              <w:rPr>
                <w:rFonts w:ascii="Times New Roman" w:hAnsi="宋体"/>
                <w:szCs w:val="21"/>
              </w:rPr>
              <w:t>科研对人才培养的支撑</w:t>
            </w:r>
          </w:p>
          <w:p>
            <w:pPr>
              <w:rPr>
                <w:rFonts w:ascii="Times New Roman" w:hAnsi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）学生转专业制度及实施情况</w:t>
            </w:r>
          </w:p>
          <w:bookmarkEnd w:id="0"/>
          <w:bookmarkEnd w:id="1"/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）教与学评价改革情况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atLeast"/>
          <w:jc w:val="center"/>
        </w:trPr>
        <w:tc>
          <w:tcPr>
            <w:tcW w:w="13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4.3</w:t>
            </w:r>
            <w:r>
              <w:rPr>
                <w:rFonts w:ascii="Times New Roman" w:hAnsi="宋体"/>
                <w:szCs w:val="21"/>
              </w:rPr>
              <w:t>课堂教学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）教学大纲的制订与执行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）课堂教学创新情况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）教师教学方法，学生学习方式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）考试考核的方式方法及管理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）选修课学分占总学分比例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）小班化教学及分层分类教学情况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3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4.4</w:t>
            </w:r>
            <w:r>
              <w:rPr>
                <w:rFonts w:ascii="Times New Roman" w:hAnsi="宋体"/>
                <w:szCs w:val="21"/>
              </w:rPr>
              <w:t>实践教学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）实践教学体系建设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）实验教学改革及学分占比情况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）校外实习基地建设情况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）实习实训、社会实践、毕业设计（论文）的落实、管理与指导及效果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  <w:r>
              <w:rPr>
                <w:rFonts w:ascii="Times New Roman" w:hAnsi="宋体"/>
                <w:szCs w:val="21"/>
              </w:rPr>
              <w:t>第二课堂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）第二课堂育人体系建设与保障措施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）大学生科技活动及育人效果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</w:t>
            </w:r>
            <w:r>
              <w:rPr>
                <w:rFonts w:ascii="Times New Roman" w:hAnsi="宋体"/>
                <w:szCs w:val="21"/>
              </w:rPr>
              <w:t>开放教学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）本科生省内外交流学习情况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）留学生教育情况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11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宋体"/>
                <w:szCs w:val="21"/>
              </w:rPr>
              <w:t>学生发展</w:t>
            </w: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  <w:r>
              <w:rPr>
                <w:rFonts w:ascii="Times New Roman" w:hAnsi="宋体"/>
                <w:szCs w:val="21"/>
              </w:rPr>
              <w:t>招生及生源情况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）专业生源状况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）改进生源质量的措施及效果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5.2</w:t>
            </w:r>
            <w:r>
              <w:rPr>
                <w:rFonts w:ascii="Times New Roman" w:hAnsi="宋体"/>
                <w:szCs w:val="21"/>
              </w:rPr>
              <w:t>学业指导与服务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）学业指导与服务的内容及效果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）学业指导与服务的组织与条件保障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5.3</w:t>
            </w:r>
            <w:r>
              <w:rPr>
                <w:rFonts w:ascii="Times New Roman" w:hAnsi="宋体"/>
                <w:szCs w:val="21"/>
              </w:rPr>
              <w:t>学风与学习效果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）严格学生学业管理的措施与效果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）学生考研率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宋体"/>
                <w:szCs w:val="21"/>
              </w:rPr>
              <w:t>双证率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宋体"/>
                <w:szCs w:val="21"/>
              </w:rPr>
              <w:t>等情况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5.4</w:t>
            </w:r>
            <w:r>
              <w:rPr>
                <w:rFonts w:ascii="Times New Roman" w:hAnsi="宋体"/>
                <w:szCs w:val="21"/>
              </w:rPr>
              <w:t>就业与发展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）毕业生就业率、创业率、专业对口相关度、起薪水平等职业发展情况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）毕业生对教学的满意度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）用人单位对毕业生的满意度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311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</w:t>
            </w:r>
            <w:r>
              <w:rPr>
                <w:rFonts w:ascii="Times New Roman" w:hAnsi="宋体"/>
                <w:szCs w:val="21"/>
              </w:rPr>
              <w:t>质量保障</w:t>
            </w:r>
          </w:p>
        </w:tc>
        <w:tc>
          <w:tcPr>
            <w:tcW w:w="1976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</w:t>
            </w:r>
            <w:r>
              <w:rPr>
                <w:rFonts w:ascii="Times New Roman" w:hAnsi="宋体"/>
                <w:szCs w:val="21"/>
              </w:rPr>
              <w:t>教学管理</w:t>
            </w:r>
          </w:p>
        </w:tc>
        <w:tc>
          <w:tcPr>
            <w:tcW w:w="7018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）专业教学管理制度、管理手段、管理队伍及执行力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）基层教学组织建设措施及效果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311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6.2</w:t>
            </w:r>
            <w:r>
              <w:rPr>
                <w:rFonts w:ascii="Times New Roman" w:hAnsi="宋体"/>
                <w:szCs w:val="21"/>
              </w:rPr>
              <w:t>质量监控和持续改进</w:t>
            </w:r>
          </w:p>
        </w:tc>
        <w:tc>
          <w:tcPr>
            <w:tcW w:w="7018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）专业教学标准、课程标准及新开课标准和教学评价标准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）自我评估及质量监控的形式和效果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）持续改进的途径与方法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11" w:type="dxa"/>
            <w:tcBorders>
              <w:top w:val="single" w:color="ECE9D8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专业优势和特色</w:t>
            </w:r>
          </w:p>
        </w:tc>
        <w:tc>
          <w:tcPr>
            <w:tcW w:w="8994" w:type="dxa"/>
            <w:gridSpan w:val="2"/>
            <w:tcBorders>
              <w:top w:val="single" w:color="auto" w:sz="6" w:space="0"/>
              <w:left w:val="single" w:color="ECE9D8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可自行选择专业建设的优势和特色进行说明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7218"/>
    <w:rsid w:val="7F7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2019-09-26T02:45:00Z</dcterms:created>
  <dc:creator>罗雯慧</dc:creator>
  <cp:lastModifiedBy>罗雯慧</cp:lastModifiedBy>
  <dcterms:modified xsi:type="dcterms:W3CDTF">2019-09-26T02:45:58Z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